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56A6E" w14:textId="77777777" w:rsidR="005861E7" w:rsidRPr="007D6EBA" w:rsidRDefault="005861E7" w:rsidP="007D6EBA">
      <w:pPr>
        <w:pStyle w:val="Ttulo"/>
        <w:jc w:val="center"/>
        <w:rPr>
          <w:rFonts w:ascii="Arial Nova" w:eastAsia="Arial Nova" w:hAnsi="Arial Nova" w:cs="Arial Nova"/>
          <w:b/>
          <w:bCs/>
          <w:sz w:val="24"/>
          <w:szCs w:val="24"/>
        </w:rPr>
      </w:pPr>
    </w:p>
    <w:p w14:paraId="00E3DF63" w14:textId="77777777" w:rsidR="005861E7" w:rsidRPr="007D6EBA" w:rsidRDefault="005861E7" w:rsidP="007D6EBA">
      <w:pPr>
        <w:pStyle w:val="Ttulo"/>
        <w:jc w:val="center"/>
        <w:rPr>
          <w:rFonts w:ascii="Arial Nova" w:eastAsia="Arial Nova" w:hAnsi="Arial Nova" w:cs="Arial Nova"/>
          <w:b/>
          <w:bCs/>
          <w:sz w:val="24"/>
          <w:szCs w:val="24"/>
        </w:rPr>
      </w:pPr>
    </w:p>
    <w:p w14:paraId="5AF031FD" w14:textId="77777777" w:rsidR="005861E7" w:rsidRPr="007D6EBA" w:rsidRDefault="005861E7" w:rsidP="007D6EBA">
      <w:pPr>
        <w:pStyle w:val="Ttulo"/>
        <w:jc w:val="center"/>
        <w:rPr>
          <w:rFonts w:ascii="Arial Nova" w:eastAsia="Arial Nova" w:hAnsi="Arial Nova" w:cs="Arial Nova"/>
          <w:b/>
          <w:bCs/>
          <w:sz w:val="24"/>
          <w:szCs w:val="24"/>
        </w:rPr>
      </w:pPr>
    </w:p>
    <w:p w14:paraId="2C08F08A" w14:textId="1170B17F" w:rsidR="44BB25C2" w:rsidRPr="007D6EBA" w:rsidRDefault="007D6EBA" w:rsidP="007D6EBA">
      <w:pPr>
        <w:pStyle w:val="Ttulo"/>
        <w:jc w:val="center"/>
        <w:rPr>
          <w:rFonts w:ascii="Arial Nova" w:eastAsia="Arial Nova" w:hAnsi="Arial Nova" w:cs="Arial Nova"/>
          <w:b/>
          <w:bCs/>
          <w:sz w:val="24"/>
          <w:szCs w:val="24"/>
        </w:rPr>
      </w:pPr>
      <w:r w:rsidRPr="007D6EBA">
        <w:rPr>
          <w:rFonts w:ascii="Arial Nova" w:eastAsia="Arial Nova" w:hAnsi="Arial Nova" w:cs="Arial Nova"/>
          <w:b/>
          <w:bCs/>
          <w:sz w:val="24"/>
          <w:szCs w:val="24"/>
        </w:rPr>
        <w:t>PLAN DE TRANSICIÓN PARA LA ACTUALIZACIÓN DE LA GESTIÓN DE RIESGOS</w:t>
      </w:r>
    </w:p>
    <w:p w14:paraId="7789F392" w14:textId="77777777" w:rsidR="00B41306" w:rsidRPr="007D6EBA" w:rsidRDefault="00B41306" w:rsidP="007D6EBA">
      <w:pPr>
        <w:jc w:val="center"/>
        <w:rPr>
          <w:b/>
          <w:bCs/>
        </w:rPr>
      </w:pPr>
    </w:p>
    <w:p w14:paraId="256E5DCE" w14:textId="77777777" w:rsidR="00B41306" w:rsidRPr="007D6EBA" w:rsidRDefault="00B41306" w:rsidP="007D6EBA">
      <w:pPr>
        <w:jc w:val="center"/>
        <w:rPr>
          <w:b/>
          <w:bCs/>
        </w:rPr>
      </w:pPr>
    </w:p>
    <w:p w14:paraId="37809FD8" w14:textId="77777777" w:rsidR="00B41306" w:rsidRPr="007D6EBA" w:rsidRDefault="00B41306" w:rsidP="007D6EBA">
      <w:pPr>
        <w:jc w:val="center"/>
        <w:rPr>
          <w:b/>
          <w:bCs/>
        </w:rPr>
      </w:pPr>
    </w:p>
    <w:p w14:paraId="5A27A387" w14:textId="77777777" w:rsidR="00B41306" w:rsidRPr="007D6EBA" w:rsidRDefault="00B41306" w:rsidP="007D6EBA">
      <w:pPr>
        <w:jc w:val="center"/>
        <w:rPr>
          <w:b/>
          <w:bCs/>
        </w:rPr>
      </w:pPr>
    </w:p>
    <w:p w14:paraId="091F6916" w14:textId="77777777" w:rsidR="00B41306" w:rsidRPr="007D6EBA" w:rsidRDefault="00B41306" w:rsidP="007D6EBA">
      <w:pPr>
        <w:jc w:val="center"/>
        <w:rPr>
          <w:b/>
          <w:bCs/>
        </w:rPr>
      </w:pPr>
    </w:p>
    <w:p w14:paraId="02780FF1" w14:textId="77777777" w:rsidR="00B41306" w:rsidRPr="007D6EBA" w:rsidRDefault="00B41306" w:rsidP="007D6EBA">
      <w:pPr>
        <w:jc w:val="center"/>
        <w:rPr>
          <w:b/>
          <w:bCs/>
        </w:rPr>
      </w:pPr>
    </w:p>
    <w:p w14:paraId="7CD0AD1D" w14:textId="77777777" w:rsidR="00B41306" w:rsidRPr="007D6EBA" w:rsidRDefault="00B41306" w:rsidP="007D6EBA">
      <w:pPr>
        <w:jc w:val="center"/>
        <w:rPr>
          <w:b/>
          <w:bCs/>
        </w:rPr>
      </w:pPr>
    </w:p>
    <w:p w14:paraId="25B255DC" w14:textId="77777777" w:rsidR="00B41306" w:rsidRPr="007D6EBA" w:rsidRDefault="00B41306" w:rsidP="007D6EBA">
      <w:pPr>
        <w:jc w:val="center"/>
        <w:rPr>
          <w:b/>
          <w:bCs/>
        </w:rPr>
      </w:pPr>
    </w:p>
    <w:p w14:paraId="732AC510" w14:textId="5FF2F6FA" w:rsidR="00B41306" w:rsidRPr="007D6EBA" w:rsidRDefault="007D6EBA" w:rsidP="007D6EBA">
      <w:pPr>
        <w:tabs>
          <w:tab w:val="left" w:pos="3410"/>
        </w:tabs>
        <w:jc w:val="center"/>
        <w:rPr>
          <w:b/>
          <w:bCs/>
        </w:rPr>
      </w:pPr>
      <w:r w:rsidRPr="007D6EBA">
        <w:rPr>
          <w:b/>
          <w:bCs/>
        </w:rPr>
        <w:t>EQUIPO DE CALIDAD</w:t>
      </w:r>
    </w:p>
    <w:p w14:paraId="30AF2091" w14:textId="498134BD" w:rsidR="007D6EBA" w:rsidRPr="007D6EBA" w:rsidRDefault="007D6EBA" w:rsidP="007D6EBA">
      <w:pPr>
        <w:tabs>
          <w:tab w:val="left" w:pos="3410"/>
        </w:tabs>
        <w:jc w:val="center"/>
        <w:rPr>
          <w:b/>
          <w:bCs/>
        </w:rPr>
      </w:pPr>
    </w:p>
    <w:p w14:paraId="7CD11D3C" w14:textId="7D5B7A2F" w:rsidR="007D6EBA" w:rsidRPr="007D6EBA" w:rsidRDefault="007D6EBA" w:rsidP="007D6EBA">
      <w:pPr>
        <w:tabs>
          <w:tab w:val="left" w:pos="3410"/>
        </w:tabs>
        <w:jc w:val="center"/>
        <w:rPr>
          <w:b/>
          <w:bCs/>
        </w:rPr>
      </w:pPr>
    </w:p>
    <w:p w14:paraId="396B52CA" w14:textId="6553D0A5" w:rsidR="007D6EBA" w:rsidRPr="007D6EBA" w:rsidRDefault="007D6EBA" w:rsidP="007D6EBA">
      <w:pPr>
        <w:tabs>
          <w:tab w:val="left" w:pos="3410"/>
        </w:tabs>
        <w:jc w:val="center"/>
        <w:rPr>
          <w:b/>
          <w:bCs/>
        </w:rPr>
      </w:pPr>
    </w:p>
    <w:p w14:paraId="5B782BCC" w14:textId="2C35137E" w:rsidR="007D6EBA" w:rsidRPr="007D6EBA" w:rsidRDefault="007D6EBA" w:rsidP="007D6EBA">
      <w:pPr>
        <w:tabs>
          <w:tab w:val="left" w:pos="3410"/>
        </w:tabs>
        <w:jc w:val="center"/>
        <w:rPr>
          <w:b/>
          <w:bCs/>
        </w:rPr>
      </w:pPr>
    </w:p>
    <w:p w14:paraId="0B398F36" w14:textId="2EFA7510" w:rsidR="007D6EBA" w:rsidRDefault="007D6EBA" w:rsidP="007D6EBA">
      <w:pPr>
        <w:tabs>
          <w:tab w:val="left" w:pos="3410"/>
        </w:tabs>
        <w:jc w:val="center"/>
        <w:rPr>
          <w:b/>
          <w:bCs/>
        </w:rPr>
      </w:pPr>
    </w:p>
    <w:p w14:paraId="5969A454" w14:textId="44D2093A" w:rsidR="007D6EBA" w:rsidRDefault="007D6EBA" w:rsidP="007D6EBA">
      <w:pPr>
        <w:tabs>
          <w:tab w:val="left" w:pos="3410"/>
        </w:tabs>
        <w:jc w:val="center"/>
        <w:rPr>
          <w:b/>
          <w:bCs/>
        </w:rPr>
      </w:pPr>
    </w:p>
    <w:p w14:paraId="48B8C053" w14:textId="72B70A37" w:rsidR="007D6EBA" w:rsidRDefault="007D6EBA" w:rsidP="007D6EBA">
      <w:pPr>
        <w:tabs>
          <w:tab w:val="left" w:pos="3410"/>
        </w:tabs>
        <w:jc w:val="center"/>
        <w:rPr>
          <w:b/>
          <w:bCs/>
        </w:rPr>
      </w:pPr>
    </w:p>
    <w:p w14:paraId="730FC68E" w14:textId="3F41290D" w:rsidR="007D6EBA" w:rsidRDefault="007D6EBA" w:rsidP="007D6EBA">
      <w:pPr>
        <w:tabs>
          <w:tab w:val="left" w:pos="3410"/>
        </w:tabs>
        <w:jc w:val="center"/>
        <w:rPr>
          <w:b/>
          <w:bCs/>
        </w:rPr>
      </w:pPr>
    </w:p>
    <w:p w14:paraId="41D0AE1D" w14:textId="7DB478EE" w:rsidR="007D6EBA" w:rsidRDefault="007D6EBA" w:rsidP="007D6EBA">
      <w:pPr>
        <w:tabs>
          <w:tab w:val="left" w:pos="3410"/>
        </w:tabs>
        <w:jc w:val="center"/>
        <w:rPr>
          <w:b/>
          <w:bCs/>
        </w:rPr>
      </w:pPr>
    </w:p>
    <w:p w14:paraId="0F903FF8" w14:textId="2BF2CA29" w:rsidR="007D6EBA" w:rsidRDefault="007D6EBA" w:rsidP="007D6EBA">
      <w:pPr>
        <w:tabs>
          <w:tab w:val="left" w:pos="3410"/>
        </w:tabs>
        <w:jc w:val="center"/>
        <w:rPr>
          <w:b/>
          <w:bCs/>
        </w:rPr>
      </w:pPr>
    </w:p>
    <w:p w14:paraId="1C426229" w14:textId="39BC7B83" w:rsidR="007D6EBA" w:rsidRDefault="007D6EBA" w:rsidP="007D6EBA">
      <w:pPr>
        <w:tabs>
          <w:tab w:val="left" w:pos="3410"/>
        </w:tabs>
        <w:jc w:val="center"/>
        <w:rPr>
          <w:b/>
          <w:bCs/>
        </w:rPr>
      </w:pPr>
    </w:p>
    <w:p w14:paraId="0EDB2869" w14:textId="08A9F321" w:rsidR="007D6EBA" w:rsidRDefault="007D6EBA" w:rsidP="007D6EBA">
      <w:pPr>
        <w:tabs>
          <w:tab w:val="left" w:pos="3410"/>
        </w:tabs>
        <w:jc w:val="center"/>
        <w:rPr>
          <w:b/>
          <w:bCs/>
        </w:rPr>
      </w:pPr>
    </w:p>
    <w:p w14:paraId="7AE0E831" w14:textId="21388A47" w:rsidR="007D6EBA" w:rsidRDefault="007D6EBA" w:rsidP="007D6EBA">
      <w:pPr>
        <w:tabs>
          <w:tab w:val="left" w:pos="3410"/>
        </w:tabs>
        <w:jc w:val="center"/>
        <w:rPr>
          <w:b/>
          <w:bCs/>
        </w:rPr>
      </w:pPr>
    </w:p>
    <w:p w14:paraId="111D7D9E" w14:textId="77777777" w:rsidR="007D6EBA" w:rsidRPr="007D6EBA" w:rsidRDefault="007D6EBA" w:rsidP="007D6EBA">
      <w:pPr>
        <w:tabs>
          <w:tab w:val="left" w:pos="3410"/>
        </w:tabs>
        <w:jc w:val="center"/>
        <w:rPr>
          <w:b/>
          <w:bCs/>
        </w:rPr>
      </w:pPr>
    </w:p>
    <w:p w14:paraId="2289EC27" w14:textId="77777777" w:rsidR="007D6EBA" w:rsidRPr="007D6EBA" w:rsidRDefault="007D6EBA" w:rsidP="007D6EBA">
      <w:pPr>
        <w:pStyle w:val="Ttulo"/>
        <w:jc w:val="center"/>
        <w:rPr>
          <w:b/>
          <w:bCs/>
          <w:sz w:val="24"/>
          <w:szCs w:val="24"/>
        </w:rPr>
      </w:pPr>
    </w:p>
    <w:p w14:paraId="2035574E" w14:textId="77777777" w:rsidR="007D6EBA" w:rsidRPr="007D6EBA" w:rsidRDefault="007D6EBA" w:rsidP="007D6EBA">
      <w:pPr>
        <w:pStyle w:val="Ttulo"/>
        <w:jc w:val="center"/>
        <w:rPr>
          <w:b/>
          <w:bCs/>
          <w:sz w:val="24"/>
          <w:szCs w:val="24"/>
        </w:rPr>
      </w:pPr>
      <w:r w:rsidRPr="007D6EBA">
        <w:rPr>
          <w:b/>
          <w:bCs/>
          <w:sz w:val="24"/>
          <w:szCs w:val="24"/>
        </w:rPr>
        <w:t>OFICINA DE PLANEACIÓN</w:t>
      </w:r>
    </w:p>
    <w:p w14:paraId="39FB9D66" w14:textId="06F9CA9D" w:rsidR="00B41306" w:rsidRPr="007D6EBA" w:rsidRDefault="007D6EBA" w:rsidP="007D6EBA">
      <w:pPr>
        <w:spacing w:before="120" w:after="360"/>
        <w:jc w:val="center"/>
        <w:rPr>
          <w:b/>
          <w:bCs/>
        </w:rPr>
      </w:pPr>
      <w:r w:rsidRPr="007D6EBA">
        <w:rPr>
          <w:b/>
          <w:bCs/>
        </w:rPr>
        <w:t>JUNIO 2025</w:t>
      </w:r>
    </w:p>
    <w:p w14:paraId="223F9D18" w14:textId="0C99D079" w:rsidR="44BB25C2" w:rsidRDefault="1852B1D0" w:rsidP="5F74F58C">
      <w:r w:rsidRPr="5F74F58C">
        <w:rPr>
          <w:rFonts w:ascii="Arial Nova" w:eastAsia="Arial Nova" w:hAnsi="Arial Nova" w:cs="Arial Nova"/>
          <w:b/>
          <w:bCs/>
        </w:rPr>
        <w:lastRenderedPageBreak/>
        <w:t>Índice</w:t>
      </w:r>
    </w:p>
    <w:sdt>
      <w:sdtPr>
        <w:id w:val="2034160545"/>
        <w:docPartObj>
          <w:docPartGallery w:val="Table of Contents"/>
          <w:docPartUnique/>
        </w:docPartObj>
      </w:sdtPr>
      <w:sdtEndPr/>
      <w:sdtContent>
        <w:p w14:paraId="7B31B67C" w14:textId="4D0E51AF" w:rsidR="44BB25C2" w:rsidRDefault="44BB25C2" w:rsidP="17843727">
          <w:pPr>
            <w:pStyle w:val="TDC2"/>
            <w:tabs>
              <w:tab w:val="left" w:pos="720"/>
              <w:tab w:val="right" w:leader="dot" w:pos="9015"/>
            </w:tabs>
          </w:pPr>
          <w:r>
            <w:fldChar w:fldCharType="begin"/>
          </w:r>
          <w:r>
            <w:instrText>TOC \o "1-9" \z \u \h</w:instrText>
          </w:r>
          <w:r>
            <w:fldChar w:fldCharType="separate"/>
          </w:r>
          <w:hyperlink w:anchor="_Toc1689469700">
            <w:r w:rsidR="17843727" w:rsidRPr="17843727">
              <w:rPr>
                <w:rStyle w:val="Hipervnculo"/>
              </w:rPr>
              <w:t>1.</w:t>
            </w:r>
            <w:r>
              <w:tab/>
            </w:r>
            <w:r w:rsidR="17843727" w:rsidRPr="17843727">
              <w:rPr>
                <w:rStyle w:val="Hipervnculo"/>
              </w:rPr>
              <w:t>Objetivo general</w:t>
            </w:r>
            <w:r>
              <w:tab/>
            </w:r>
            <w:r>
              <w:fldChar w:fldCharType="begin"/>
            </w:r>
            <w:r>
              <w:instrText>PAGEREF _Toc1689469700 \h</w:instrText>
            </w:r>
            <w:r>
              <w:fldChar w:fldCharType="separate"/>
            </w:r>
            <w:r w:rsidR="17843727" w:rsidRPr="17843727">
              <w:rPr>
                <w:rStyle w:val="Hipervnculo"/>
              </w:rPr>
              <w:t>1</w:t>
            </w:r>
            <w:r>
              <w:fldChar w:fldCharType="end"/>
            </w:r>
          </w:hyperlink>
        </w:p>
        <w:p w14:paraId="1726BA17" w14:textId="4E31B349" w:rsidR="44BB25C2" w:rsidRDefault="002846D7" w:rsidP="17843727">
          <w:pPr>
            <w:pStyle w:val="TDC2"/>
            <w:tabs>
              <w:tab w:val="left" w:pos="720"/>
              <w:tab w:val="right" w:leader="dot" w:pos="9015"/>
            </w:tabs>
          </w:pPr>
          <w:hyperlink w:anchor="_Toc1449398940">
            <w:r w:rsidR="17843727" w:rsidRPr="17843727">
              <w:rPr>
                <w:rStyle w:val="Hipervnculo"/>
              </w:rPr>
              <w:t>2.</w:t>
            </w:r>
            <w:r w:rsidR="44BB25C2">
              <w:tab/>
            </w:r>
            <w:r w:rsidR="17843727" w:rsidRPr="17843727">
              <w:rPr>
                <w:rStyle w:val="Hipervnculo"/>
              </w:rPr>
              <w:t>Objetivos específicos</w:t>
            </w:r>
            <w:r w:rsidR="44BB25C2">
              <w:tab/>
            </w:r>
            <w:r w:rsidR="44BB25C2">
              <w:fldChar w:fldCharType="begin"/>
            </w:r>
            <w:r w:rsidR="44BB25C2">
              <w:instrText>PAGEREF _Toc1449398940 \h</w:instrText>
            </w:r>
            <w:r w:rsidR="44BB25C2">
              <w:fldChar w:fldCharType="separate"/>
            </w:r>
            <w:r w:rsidR="17843727" w:rsidRPr="17843727">
              <w:rPr>
                <w:rStyle w:val="Hipervnculo"/>
              </w:rPr>
              <w:t>1</w:t>
            </w:r>
            <w:r w:rsidR="44BB25C2">
              <w:fldChar w:fldCharType="end"/>
            </w:r>
          </w:hyperlink>
        </w:p>
        <w:p w14:paraId="1ECBE807" w14:textId="5A2E2083" w:rsidR="44BB25C2" w:rsidRDefault="002846D7" w:rsidP="17843727">
          <w:pPr>
            <w:pStyle w:val="TDC2"/>
            <w:tabs>
              <w:tab w:val="left" w:pos="720"/>
              <w:tab w:val="right" w:leader="dot" w:pos="9015"/>
            </w:tabs>
          </w:pPr>
          <w:hyperlink w:anchor="_Toc2121602035">
            <w:r w:rsidR="17843727" w:rsidRPr="17843727">
              <w:rPr>
                <w:rStyle w:val="Hipervnculo"/>
              </w:rPr>
              <w:t>3.</w:t>
            </w:r>
            <w:r w:rsidR="44BB25C2">
              <w:tab/>
            </w:r>
            <w:r w:rsidR="17843727" w:rsidRPr="17843727">
              <w:rPr>
                <w:rStyle w:val="Hipervnculo"/>
              </w:rPr>
              <w:t>Alcance</w:t>
            </w:r>
            <w:r w:rsidR="44BB25C2">
              <w:tab/>
            </w:r>
            <w:r w:rsidR="44BB25C2">
              <w:fldChar w:fldCharType="begin"/>
            </w:r>
            <w:r w:rsidR="44BB25C2">
              <w:instrText>PAGEREF _Toc2121602035 \h</w:instrText>
            </w:r>
            <w:r w:rsidR="44BB25C2">
              <w:fldChar w:fldCharType="separate"/>
            </w:r>
            <w:r w:rsidR="17843727" w:rsidRPr="17843727">
              <w:rPr>
                <w:rStyle w:val="Hipervnculo"/>
              </w:rPr>
              <w:t>1</w:t>
            </w:r>
            <w:r w:rsidR="44BB25C2">
              <w:fldChar w:fldCharType="end"/>
            </w:r>
          </w:hyperlink>
        </w:p>
        <w:p w14:paraId="01FA120A" w14:textId="44B6B14C" w:rsidR="44BB25C2" w:rsidRDefault="002846D7" w:rsidP="17843727">
          <w:pPr>
            <w:pStyle w:val="TDC2"/>
            <w:tabs>
              <w:tab w:val="left" w:pos="720"/>
              <w:tab w:val="right" w:leader="dot" w:pos="9015"/>
            </w:tabs>
          </w:pPr>
          <w:hyperlink w:anchor="_Toc1675068808">
            <w:r w:rsidR="17843727" w:rsidRPr="17843727">
              <w:rPr>
                <w:rStyle w:val="Hipervnculo"/>
              </w:rPr>
              <w:t>4.</w:t>
            </w:r>
            <w:r w:rsidR="44BB25C2">
              <w:tab/>
            </w:r>
            <w:r w:rsidR="17843727" w:rsidRPr="17843727">
              <w:rPr>
                <w:rStyle w:val="Hipervnculo"/>
              </w:rPr>
              <w:t>Antecedentes</w:t>
            </w:r>
            <w:r w:rsidR="44BB25C2">
              <w:tab/>
            </w:r>
            <w:r w:rsidR="44BB25C2">
              <w:fldChar w:fldCharType="begin"/>
            </w:r>
            <w:r w:rsidR="44BB25C2">
              <w:instrText>PAGEREF _Toc1675068808 \h</w:instrText>
            </w:r>
            <w:r w:rsidR="44BB25C2">
              <w:fldChar w:fldCharType="separate"/>
            </w:r>
            <w:r w:rsidR="17843727" w:rsidRPr="17843727">
              <w:rPr>
                <w:rStyle w:val="Hipervnculo"/>
              </w:rPr>
              <w:t>1</w:t>
            </w:r>
            <w:r w:rsidR="44BB25C2">
              <w:fldChar w:fldCharType="end"/>
            </w:r>
          </w:hyperlink>
        </w:p>
        <w:p w14:paraId="06ED8CCC" w14:textId="5B754F22" w:rsidR="44BB25C2" w:rsidRDefault="002846D7" w:rsidP="17843727">
          <w:pPr>
            <w:pStyle w:val="TDC2"/>
            <w:tabs>
              <w:tab w:val="left" w:pos="720"/>
              <w:tab w:val="right" w:leader="dot" w:pos="9015"/>
            </w:tabs>
          </w:pPr>
          <w:hyperlink w:anchor="_Toc582258990">
            <w:r w:rsidR="17843727" w:rsidRPr="17843727">
              <w:rPr>
                <w:rStyle w:val="Hipervnculo"/>
              </w:rPr>
              <w:t>5.</w:t>
            </w:r>
            <w:r w:rsidR="44BB25C2">
              <w:tab/>
            </w:r>
            <w:r w:rsidR="17843727" w:rsidRPr="17843727">
              <w:rPr>
                <w:rStyle w:val="Hipervnculo"/>
              </w:rPr>
              <w:t>Desarrollo de los objetivos</w:t>
            </w:r>
            <w:r w:rsidR="44BB25C2">
              <w:tab/>
            </w:r>
            <w:r w:rsidR="44BB25C2">
              <w:fldChar w:fldCharType="begin"/>
            </w:r>
            <w:r w:rsidR="44BB25C2">
              <w:instrText>PAGEREF _Toc582258990 \h</w:instrText>
            </w:r>
            <w:r w:rsidR="44BB25C2">
              <w:fldChar w:fldCharType="separate"/>
            </w:r>
            <w:r w:rsidR="17843727" w:rsidRPr="17843727">
              <w:rPr>
                <w:rStyle w:val="Hipervnculo"/>
              </w:rPr>
              <w:t>5</w:t>
            </w:r>
            <w:r w:rsidR="44BB25C2">
              <w:fldChar w:fldCharType="end"/>
            </w:r>
          </w:hyperlink>
        </w:p>
        <w:p w14:paraId="71D9DCA5" w14:textId="297DE38E" w:rsidR="44BB25C2" w:rsidRDefault="44BB25C2" w:rsidP="5F74F58C">
          <w:r>
            <w:fldChar w:fldCharType="end"/>
          </w:r>
        </w:p>
      </w:sdtContent>
    </w:sdt>
    <w:p w14:paraId="6EA7D265" w14:textId="494D4380" w:rsidR="76534A6A" w:rsidRDefault="46D34EE8" w:rsidP="007E3654">
      <w:pPr>
        <w:pStyle w:val="Ttulo2"/>
        <w:numPr>
          <w:ilvl w:val="0"/>
          <w:numId w:val="2"/>
        </w:numPr>
        <w:jc w:val="both"/>
        <w:rPr>
          <w:rFonts w:ascii="Arial" w:eastAsia="Arial" w:hAnsi="Arial" w:cs="Arial"/>
          <w:b/>
          <w:bCs/>
          <w:color w:val="auto"/>
          <w:sz w:val="22"/>
          <w:szCs w:val="22"/>
          <w:lang w:val="es-CO"/>
        </w:rPr>
      </w:pPr>
      <w:bookmarkStart w:id="0" w:name="_Toc1193600306"/>
      <w:bookmarkStart w:id="1" w:name="_Toc1689469700"/>
      <w:r w:rsidRPr="17843727">
        <w:rPr>
          <w:rFonts w:ascii="Arial" w:eastAsia="Arial" w:hAnsi="Arial" w:cs="Arial"/>
          <w:b/>
          <w:bCs/>
          <w:color w:val="auto"/>
          <w:sz w:val="22"/>
          <w:szCs w:val="22"/>
          <w:lang w:val="es-CO"/>
        </w:rPr>
        <w:t>Objetivo general</w:t>
      </w:r>
      <w:bookmarkEnd w:id="0"/>
      <w:bookmarkEnd w:id="1"/>
    </w:p>
    <w:p w14:paraId="4A00E730" w14:textId="6FE95C32" w:rsidR="76534A6A" w:rsidRDefault="76534A6A" w:rsidP="007E3654">
      <w:pPr>
        <w:spacing w:line="360" w:lineRule="auto"/>
        <w:jc w:val="both"/>
        <w:rPr>
          <w:rFonts w:ascii="Arial" w:eastAsia="Arial" w:hAnsi="Arial" w:cs="Arial"/>
          <w:color w:val="000000" w:themeColor="text1"/>
          <w:sz w:val="22"/>
          <w:szCs w:val="22"/>
        </w:rPr>
      </w:pPr>
      <w:r w:rsidRPr="4CA1D688">
        <w:rPr>
          <w:rFonts w:ascii="Arial" w:eastAsia="Arial" w:hAnsi="Arial" w:cs="Arial"/>
          <w:color w:val="000000" w:themeColor="text1"/>
          <w:sz w:val="22"/>
          <w:szCs w:val="22"/>
        </w:rPr>
        <w:t>Adoptar e implementar la metodología para la gestión integral del riesgo en la ESAP, conforme a los lineamientos establecidos en la Guía para la Administración del Riesgo en entidades públicas versión 7 del DAFP, mediante la actualización y alineación de la documentación, matrices de riesgos y herramientas metodológicas, con el fin de fortalecer la identificación, análisis, valoración, tratamiento y seguimiento de los riesgos.</w:t>
      </w:r>
    </w:p>
    <w:p w14:paraId="6682D529" w14:textId="77777777" w:rsidR="002C18C9" w:rsidRDefault="002C18C9" w:rsidP="007E3654">
      <w:pPr>
        <w:spacing w:line="360" w:lineRule="auto"/>
        <w:jc w:val="both"/>
        <w:rPr>
          <w:rFonts w:ascii="Arial" w:eastAsia="Arial" w:hAnsi="Arial" w:cs="Arial"/>
          <w:color w:val="000000" w:themeColor="text1"/>
          <w:sz w:val="22"/>
          <w:szCs w:val="22"/>
        </w:rPr>
      </w:pPr>
    </w:p>
    <w:p w14:paraId="67AADFAC" w14:textId="57DEB35E" w:rsidR="61D9CE0C" w:rsidRDefault="0CC2F3FA" w:rsidP="007E3654">
      <w:pPr>
        <w:pStyle w:val="Ttulo2"/>
        <w:numPr>
          <w:ilvl w:val="0"/>
          <w:numId w:val="2"/>
        </w:numPr>
        <w:jc w:val="both"/>
        <w:rPr>
          <w:rFonts w:ascii="Arial" w:eastAsia="Arial" w:hAnsi="Arial" w:cs="Arial"/>
          <w:b/>
          <w:bCs/>
          <w:color w:val="auto"/>
          <w:sz w:val="22"/>
          <w:szCs w:val="22"/>
          <w:lang w:val="es-CO"/>
        </w:rPr>
      </w:pPr>
      <w:bookmarkStart w:id="2" w:name="_Toc2038929488"/>
      <w:bookmarkStart w:id="3" w:name="_Toc1449398940"/>
      <w:r w:rsidRPr="17843727">
        <w:rPr>
          <w:rFonts w:ascii="Arial" w:eastAsia="Arial" w:hAnsi="Arial" w:cs="Arial"/>
          <w:b/>
          <w:bCs/>
          <w:color w:val="auto"/>
          <w:sz w:val="22"/>
          <w:szCs w:val="22"/>
          <w:lang w:val="es-CO"/>
        </w:rPr>
        <w:t>Objetivos específicos</w:t>
      </w:r>
      <w:bookmarkEnd w:id="2"/>
      <w:bookmarkEnd w:id="3"/>
    </w:p>
    <w:p w14:paraId="1C5FB78E" w14:textId="6118E923" w:rsidR="61D9CE0C" w:rsidRDefault="61D9CE0C" w:rsidP="26FB17D3">
      <w:pPr>
        <w:pStyle w:val="Prrafodelista"/>
        <w:numPr>
          <w:ilvl w:val="0"/>
          <w:numId w:val="11"/>
        </w:numPr>
        <w:spacing w:after="0" w:line="360" w:lineRule="auto"/>
        <w:jc w:val="both"/>
        <w:rPr>
          <w:rFonts w:ascii="Arial" w:eastAsia="Arial" w:hAnsi="Arial" w:cs="Arial"/>
          <w:color w:val="000000" w:themeColor="text1"/>
          <w:sz w:val="22"/>
          <w:szCs w:val="22"/>
          <w:lang w:val="es-CO"/>
        </w:rPr>
      </w:pPr>
      <w:r w:rsidRPr="26FB17D3">
        <w:rPr>
          <w:rFonts w:ascii="Arial" w:eastAsia="Arial" w:hAnsi="Arial" w:cs="Arial"/>
          <w:color w:val="000000" w:themeColor="text1"/>
          <w:sz w:val="22"/>
          <w:szCs w:val="22"/>
          <w:lang w:val="es-CO"/>
        </w:rPr>
        <w:t>Actualizar la metodología institucional de gestión del riesgo de la ESAP, alineándola con los</w:t>
      </w:r>
      <w:r w:rsidR="11DA7B1C" w:rsidRPr="26FB17D3">
        <w:rPr>
          <w:rFonts w:ascii="Arial" w:eastAsia="Arial" w:hAnsi="Arial" w:cs="Arial"/>
          <w:color w:val="000000" w:themeColor="text1"/>
          <w:sz w:val="22"/>
          <w:szCs w:val="22"/>
          <w:lang w:val="es-CO"/>
        </w:rPr>
        <w:t xml:space="preserve"> criterios</w:t>
      </w:r>
      <w:r w:rsidRPr="26FB17D3">
        <w:rPr>
          <w:rFonts w:ascii="Arial" w:eastAsia="Arial" w:hAnsi="Arial" w:cs="Arial"/>
          <w:color w:val="000000" w:themeColor="text1"/>
          <w:sz w:val="22"/>
          <w:szCs w:val="22"/>
          <w:lang w:val="es-CO"/>
        </w:rPr>
        <w:t xml:space="preserve"> establecidos en la Guía para la Administración del Riesgo para Entidades Públicas – versión 7 del DAFP. </w:t>
      </w:r>
    </w:p>
    <w:p w14:paraId="0C196FD5" w14:textId="627EE94F" w:rsidR="61D9CE0C" w:rsidRDefault="04C61E44" w:rsidP="44BB25C2">
      <w:pPr>
        <w:pStyle w:val="Prrafodelista"/>
        <w:numPr>
          <w:ilvl w:val="0"/>
          <w:numId w:val="11"/>
        </w:numPr>
        <w:spacing w:after="0" w:line="360" w:lineRule="auto"/>
        <w:jc w:val="both"/>
        <w:rPr>
          <w:rFonts w:ascii="Arial" w:eastAsia="Arial" w:hAnsi="Arial" w:cs="Arial"/>
          <w:color w:val="000000" w:themeColor="text1"/>
          <w:sz w:val="22"/>
          <w:szCs w:val="22"/>
          <w:lang w:val="es-CO"/>
        </w:rPr>
      </w:pPr>
      <w:r w:rsidRPr="26FB17D3">
        <w:rPr>
          <w:rFonts w:ascii="Arial" w:eastAsia="Arial" w:hAnsi="Arial" w:cs="Arial"/>
          <w:color w:val="000000" w:themeColor="text1"/>
          <w:sz w:val="22"/>
          <w:szCs w:val="22"/>
          <w:lang w:val="es-CO"/>
        </w:rPr>
        <w:t>Actualizar el contexto interno y externo de riesgos</w:t>
      </w:r>
      <w:r w:rsidR="38A9E638" w:rsidRPr="26FB17D3">
        <w:rPr>
          <w:rFonts w:ascii="Arial" w:eastAsia="Arial" w:hAnsi="Arial" w:cs="Arial"/>
          <w:color w:val="000000" w:themeColor="text1"/>
          <w:sz w:val="22"/>
          <w:szCs w:val="22"/>
          <w:lang w:val="es-CO"/>
        </w:rPr>
        <w:t>, para analizar, valorar y evaluar si los factores de incertidumbre</w:t>
      </w:r>
      <w:r w:rsidR="242FDBC0" w:rsidRPr="26FB17D3">
        <w:rPr>
          <w:rFonts w:ascii="Arial" w:eastAsia="Arial" w:hAnsi="Arial" w:cs="Arial"/>
          <w:color w:val="000000" w:themeColor="text1"/>
          <w:sz w:val="22"/>
          <w:szCs w:val="22"/>
          <w:lang w:val="es-CO"/>
        </w:rPr>
        <w:t xml:space="preserve"> prevalecen</w:t>
      </w:r>
      <w:r w:rsidR="38A9E638" w:rsidRPr="26FB17D3">
        <w:rPr>
          <w:rFonts w:ascii="Arial" w:eastAsia="Arial" w:hAnsi="Arial" w:cs="Arial"/>
          <w:color w:val="000000" w:themeColor="text1"/>
          <w:sz w:val="22"/>
          <w:szCs w:val="22"/>
          <w:lang w:val="es-CO"/>
        </w:rPr>
        <w:t xml:space="preserve"> y las </w:t>
      </w:r>
      <w:r w:rsidR="5C374B41" w:rsidRPr="26FB17D3">
        <w:rPr>
          <w:rFonts w:ascii="Arial" w:eastAsia="Arial" w:hAnsi="Arial" w:cs="Arial"/>
          <w:color w:val="000000" w:themeColor="text1"/>
          <w:sz w:val="22"/>
          <w:szCs w:val="22"/>
          <w:lang w:val="es-CO"/>
        </w:rPr>
        <w:t>acciones preventivas</w:t>
      </w:r>
      <w:r w:rsidR="38A9E638" w:rsidRPr="26FB17D3">
        <w:rPr>
          <w:rFonts w:ascii="Arial" w:eastAsia="Arial" w:hAnsi="Arial" w:cs="Arial"/>
          <w:color w:val="000000" w:themeColor="text1"/>
          <w:sz w:val="22"/>
          <w:szCs w:val="22"/>
          <w:lang w:val="es-CO"/>
        </w:rPr>
        <w:t xml:space="preserve"> adelantadas han sido efectivas</w:t>
      </w:r>
      <w:r w:rsidR="34759825" w:rsidRPr="26FB17D3">
        <w:rPr>
          <w:rFonts w:ascii="Arial" w:eastAsia="Arial" w:hAnsi="Arial" w:cs="Arial"/>
          <w:color w:val="000000" w:themeColor="text1"/>
          <w:sz w:val="22"/>
          <w:szCs w:val="22"/>
          <w:lang w:val="es-CO"/>
        </w:rPr>
        <w:t>, como herramienta para la gestión integral.</w:t>
      </w:r>
    </w:p>
    <w:p w14:paraId="7E3FC428" w14:textId="5C1CB60A" w:rsidR="6CD8DC1F" w:rsidRDefault="04C61E44" w:rsidP="44BB25C2">
      <w:pPr>
        <w:pStyle w:val="Prrafodelista"/>
        <w:numPr>
          <w:ilvl w:val="0"/>
          <w:numId w:val="11"/>
        </w:numPr>
        <w:spacing w:after="0" w:line="360" w:lineRule="auto"/>
        <w:jc w:val="both"/>
        <w:rPr>
          <w:rFonts w:ascii="Arial" w:eastAsia="Arial" w:hAnsi="Arial" w:cs="Arial"/>
          <w:color w:val="000000" w:themeColor="text1"/>
          <w:sz w:val="22"/>
          <w:szCs w:val="22"/>
          <w:lang w:val="es-CO"/>
        </w:rPr>
      </w:pPr>
      <w:r w:rsidRPr="44BB25C2">
        <w:rPr>
          <w:rFonts w:ascii="Arial" w:eastAsia="Arial" w:hAnsi="Arial" w:cs="Arial"/>
          <w:color w:val="000000" w:themeColor="text1"/>
          <w:sz w:val="22"/>
          <w:szCs w:val="22"/>
          <w:lang w:val="es-CO"/>
        </w:rPr>
        <w:t>Afianzar la cultura de gestión preventiva del riesgo en la entidad.</w:t>
      </w:r>
    </w:p>
    <w:p w14:paraId="07AF2B9B" w14:textId="3D5CCCE9" w:rsidR="6CD8DC1F" w:rsidRDefault="04C61E44" w:rsidP="44BB25C2">
      <w:pPr>
        <w:pStyle w:val="Prrafodelista"/>
        <w:numPr>
          <w:ilvl w:val="0"/>
          <w:numId w:val="11"/>
        </w:numPr>
        <w:spacing w:after="0" w:line="360" w:lineRule="auto"/>
        <w:jc w:val="both"/>
        <w:rPr>
          <w:rFonts w:ascii="Arial" w:eastAsia="Arial" w:hAnsi="Arial" w:cs="Arial"/>
          <w:color w:val="000000" w:themeColor="text1"/>
          <w:sz w:val="22"/>
          <w:szCs w:val="22"/>
          <w:lang w:val="es-CO"/>
        </w:rPr>
      </w:pPr>
      <w:r w:rsidRPr="44BB25C2">
        <w:rPr>
          <w:rFonts w:ascii="Arial" w:eastAsia="Arial" w:hAnsi="Arial" w:cs="Arial"/>
          <w:color w:val="000000" w:themeColor="text1"/>
          <w:sz w:val="22"/>
          <w:szCs w:val="22"/>
          <w:lang w:val="es-CO"/>
        </w:rPr>
        <w:t>Capacitar y socializar a los líderes y gestores de proceso sobre la nueva metodología de gestión integral del riesgo.</w:t>
      </w:r>
    </w:p>
    <w:p w14:paraId="0828784A" w14:textId="3653CA23" w:rsidR="6CD8DC1F" w:rsidRDefault="04C61E44" w:rsidP="44BB25C2">
      <w:pPr>
        <w:pStyle w:val="Prrafodelista"/>
        <w:numPr>
          <w:ilvl w:val="0"/>
          <w:numId w:val="11"/>
        </w:numPr>
        <w:spacing w:after="0" w:line="360" w:lineRule="auto"/>
        <w:jc w:val="both"/>
        <w:rPr>
          <w:lang w:val="es-CO"/>
        </w:rPr>
      </w:pPr>
      <w:r w:rsidRPr="26FB17D3">
        <w:rPr>
          <w:rFonts w:ascii="Arial" w:eastAsia="Arial" w:hAnsi="Arial" w:cs="Arial"/>
          <w:color w:val="000000" w:themeColor="text1"/>
          <w:sz w:val="22"/>
          <w:szCs w:val="22"/>
          <w:lang w:val="es-CO"/>
        </w:rPr>
        <w:t>Actualizar la política de gestión del riesgo de la entidad, integrando política antisoborno y antifraud</w:t>
      </w:r>
      <w:r w:rsidRPr="26FB17D3">
        <w:rPr>
          <w:rFonts w:eastAsiaTheme="minorEastAsia"/>
          <w:color w:val="000000" w:themeColor="text1"/>
          <w:sz w:val="22"/>
          <w:szCs w:val="22"/>
          <w:lang w:val="es-CO"/>
        </w:rPr>
        <w:t>e.</w:t>
      </w:r>
    </w:p>
    <w:p w14:paraId="6EA4F32B" w14:textId="50A47306" w:rsidR="6CD8DC1F" w:rsidRDefault="04C61E44" w:rsidP="44BB25C2">
      <w:pPr>
        <w:pStyle w:val="Prrafodelista"/>
        <w:numPr>
          <w:ilvl w:val="0"/>
          <w:numId w:val="11"/>
        </w:numPr>
        <w:spacing w:after="0" w:line="360" w:lineRule="auto"/>
        <w:jc w:val="both"/>
        <w:rPr>
          <w:rFonts w:ascii="Arial" w:eastAsia="Arial" w:hAnsi="Arial" w:cs="Arial"/>
          <w:color w:val="000000" w:themeColor="text1"/>
          <w:sz w:val="22"/>
          <w:szCs w:val="22"/>
          <w:lang w:val="es-CO"/>
        </w:rPr>
      </w:pPr>
      <w:r w:rsidRPr="26FB17D3">
        <w:rPr>
          <w:rFonts w:ascii="Arial" w:eastAsia="Arial" w:hAnsi="Arial" w:cs="Arial"/>
          <w:color w:val="000000" w:themeColor="text1"/>
          <w:sz w:val="22"/>
          <w:szCs w:val="22"/>
          <w:lang w:val="es-CO"/>
        </w:rPr>
        <w:t>Fortalecer la documentación asociada al proceso de administración del riesgo.</w:t>
      </w:r>
    </w:p>
    <w:p w14:paraId="22D0EEE0" w14:textId="7A3830AF" w:rsidR="6CD8DC1F" w:rsidRDefault="04C61E44" w:rsidP="44BB25C2">
      <w:pPr>
        <w:pStyle w:val="Prrafodelista"/>
        <w:numPr>
          <w:ilvl w:val="0"/>
          <w:numId w:val="11"/>
        </w:numPr>
        <w:spacing w:after="0" w:line="360" w:lineRule="auto"/>
        <w:jc w:val="both"/>
        <w:rPr>
          <w:rFonts w:ascii="Arial" w:eastAsia="Arial" w:hAnsi="Arial" w:cs="Arial"/>
          <w:color w:val="000000" w:themeColor="text1"/>
          <w:sz w:val="22"/>
          <w:szCs w:val="22"/>
          <w:lang w:val="es-CO"/>
        </w:rPr>
      </w:pPr>
      <w:r w:rsidRPr="26FB17D3">
        <w:rPr>
          <w:rFonts w:ascii="Arial" w:eastAsia="Arial" w:hAnsi="Arial" w:cs="Arial"/>
          <w:color w:val="000000" w:themeColor="text1"/>
          <w:sz w:val="22"/>
          <w:szCs w:val="22"/>
          <w:lang w:val="es-CO"/>
        </w:rPr>
        <w:t>Revisar y ajustar las matrices de riesgos institucionales.</w:t>
      </w:r>
    </w:p>
    <w:p w14:paraId="1672E572" w14:textId="027FDBB9" w:rsidR="61D9CE0C" w:rsidRDefault="0CC2F3FA" w:rsidP="007E3654">
      <w:pPr>
        <w:pStyle w:val="Ttulo2"/>
        <w:numPr>
          <w:ilvl w:val="0"/>
          <w:numId w:val="2"/>
        </w:numPr>
        <w:jc w:val="both"/>
        <w:rPr>
          <w:rFonts w:ascii="Arial" w:eastAsia="Arial" w:hAnsi="Arial" w:cs="Arial"/>
          <w:b/>
          <w:bCs/>
          <w:color w:val="auto"/>
          <w:sz w:val="22"/>
          <w:szCs w:val="22"/>
          <w:lang w:val="es-CO"/>
        </w:rPr>
      </w:pPr>
      <w:bookmarkStart w:id="4" w:name="_Toc641064298"/>
      <w:bookmarkStart w:id="5" w:name="_Toc2121602035"/>
      <w:r w:rsidRPr="17843727">
        <w:rPr>
          <w:rFonts w:ascii="Arial" w:eastAsia="Arial" w:hAnsi="Arial" w:cs="Arial"/>
          <w:b/>
          <w:bCs/>
          <w:color w:val="auto"/>
          <w:sz w:val="22"/>
          <w:szCs w:val="22"/>
          <w:lang w:val="es-CO"/>
        </w:rPr>
        <w:t>Alcance</w:t>
      </w:r>
      <w:bookmarkEnd w:id="4"/>
      <w:bookmarkEnd w:id="5"/>
    </w:p>
    <w:p w14:paraId="21AD8926" w14:textId="2C7E9841" w:rsidR="61D9CE0C" w:rsidRDefault="61D9CE0C" w:rsidP="007E3654">
      <w:pPr>
        <w:spacing w:after="0" w:line="360" w:lineRule="auto"/>
        <w:jc w:val="both"/>
        <w:rPr>
          <w:rFonts w:ascii="Arial" w:eastAsia="Arial" w:hAnsi="Arial" w:cs="Arial"/>
          <w:color w:val="000000" w:themeColor="text1"/>
          <w:sz w:val="22"/>
          <w:szCs w:val="22"/>
        </w:rPr>
      </w:pPr>
      <w:r w:rsidRPr="4CA1D688">
        <w:rPr>
          <w:rFonts w:ascii="Arial" w:eastAsia="Arial" w:hAnsi="Arial" w:cs="Arial"/>
          <w:color w:val="000000" w:themeColor="text1"/>
          <w:sz w:val="22"/>
          <w:szCs w:val="22"/>
          <w:lang w:val="es-CO"/>
        </w:rPr>
        <w:t>La adopción de la metodología para la gestión integral del riesgo y la actualización de los riesgos institucionales aplica a los procesos que conforman el Sistema de Gestión de Calidad de la ESAP, tanto en Sede Central como en las Direcciones Territoriales.</w:t>
      </w:r>
    </w:p>
    <w:p w14:paraId="0660877B" w14:textId="44386E6B" w:rsidR="61D9CE0C" w:rsidRDefault="61D9CE0C" w:rsidP="007E3654">
      <w:pPr>
        <w:spacing w:line="360" w:lineRule="auto"/>
        <w:jc w:val="both"/>
        <w:rPr>
          <w:rFonts w:ascii="Arial" w:eastAsia="Arial" w:hAnsi="Arial" w:cs="Arial"/>
          <w:color w:val="000000" w:themeColor="text1"/>
          <w:sz w:val="22"/>
          <w:szCs w:val="22"/>
          <w:lang w:val="es-CO"/>
        </w:rPr>
      </w:pPr>
      <w:r w:rsidRPr="4CA1D688">
        <w:rPr>
          <w:rFonts w:ascii="Arial" w:eastAsia="Arial" w:hAnsi="Arial" w:cs="Arial"/>
          <w:color w:val="000000" w:themeColor="text1"/>
          <w:sz w:val="22"/>
          <w:szCs w:val="22"/>
          <w:lang w:val="es-CO"/>
        </w:rPr>
        <w:t>Así mismo, contempla la socialización, apropiación e implementación de la metodología en todos los niveles institucionales.</w:t>
      </w:r>
    </w:p>
    <w:p w14:paraId="43F0E79F" w14:textId="77777777" w:rsidR="002C18C9" w:rsidRDefault="002C18C9" w:rsidP="007E3654">
      <w:pPr>
        <w:spacing w:line="360" w:lineRule="auto"/>
        <w:jc w:val="both"/>
        <w:rPr>
          <w:rFonts w:ascii="Arial" w:eastAsia="Arial" w:hAnsi="Arial" w:cs="Arial"/>
          <w:color w:val="000000" w:themeColor="text1"/>
          <w:sz w:val="22"/>
          <w:szCs w:val="22"/>
          <w:lang w:val="es-CO"/>
        </w:rPr>
      </w:pPr>
    </w:p>
    <w:p w14:paraId="7BCC10AF" w14:textId="58BE0FB6" w:rsidR="242D24D7" w:rsidRDefault="524747C7" w:rsidP="007E3654">
      <w:pPr>
        <w:pStyle w:val="Ttulo2"/>
        <w:numPr>
          <w:ilvl w:val="0"/>
          <w:numId w:val="2"/>
        </w:numPr>
        <w:jc w:val="both"/>
        <w:rPr>
          <w:rFonts w:ascii="Arial" w:eastAsia="Arial" w:hAnsi="Arial" w:cs="Arial"/>
          <w:b/>
          <w:bCs/>
          <w:color w:val="auto"/>
          <w:sz w:val="22"/>
          <w:szCs w:val="22"/>
        </w:rPr>
      </w:pPr>
      <w:bookmarkStart w:id="6" w:name="_Toc60631974"/>
      <w:bookmarkStart w:id="7" w:name="_Toc1675068808"/>
      <w:r w:rsidRPr="17843727">
        <w:rPr>
          <w:rFonts w:ascii="Arial" w:eastAsia="Arial" w:hAnsi="Arial" w:cs="Arial"/>
          <w:b/>
          <w:bCs/>
          <w:color w:val="auto"/>
          <w:sz w:val="22"/>
          <w:szCs w:val="22"/>
        </w:rPr>
        <w:t>Antecedentes</w:t>
      </w:r>
      <w:bookmarkEnd w:id="6"/>
      <w:bookmarkEnd w:id="7"/>
    </w:p>
    <w:p w14:paraId="6E9FAFF6" w14:textId="33EDC2F3" w:rsidR="2DA606CB" w:rsidRDefault="062203D6" w:rsidP="17843727">
      <w:pPr>
        <w:spacing w:line="360" w:lineRule="auto"/>
        <w:jc w:val="both"/>
      </w:pPr>
      <w:r w:rsidRPr="26FB17D3">
        <w:rPr>
          <w:rFonts w:ascii="Arial" w:eastAsia="Arial" w:hAnsi="Arial" w:cs="Arial"/>
          <w:color w:val="000000" w:themeColor="text1"/>
          <w:sz w:val="22"/>
          <w:szCs w:val="22"/>
        </w:rPr>
        <w:t>La gestión del riesgo en la ESAP se ha venido consolidando de manera progresiva como un componente transversal de la planeación institucional, el</w:t>
      </w:r>
      <w:r w:rsidR="02C09AAA" w:rsidRPr="26FB17D3">
        <w:rPr>
          <w:rFonts w:ascii="Arial" w:eastAsia="Arial" w:hAnsi="Arial" w:cs="Arial"/>
          <w:color w:val="000000" w:themeColor="text1"/>
          <w:sz w:val="22"/>
          <w:szCs w:val="22"/>
        </w:rPr>
        <w:t xml:space="preserve"> sistema de </w:t>
      </w:r>
      <w:r w:rsidRPr="26FB17D3">
        <w:rPr>
          <w:rFonts w:ascii="Arial" w:eastAsia="Arial" w:hAnsi="Arial" w:cs="Arial"/>
          <w:color w:val="000000" w:themeColor="text1"/>
          <w:sz w:val="22"/>
          <w:szCs w:val="22"/>
        </w:rPr>
        <w:t xml:space="preserve">control interno y el seguimiento a los procesos estratégicos, misionales, de apoyo y de evaluación. </w:t>
      </w:r>
    </w:p>
    <w:p w14:paraId="3C20FC48" w14:textId="78658E45" w:rsidR="2DA606CB" w:rsidRDefault="062203D6" w:rsidP="17843727">
      <w:pPr>
        <w:spacing w:line="360" w:lineRule="auto"/>
        <w:jc w:val="both"/>
        <w:rPr>
          <w:rFonts w:ascii="Arial" w:eastAsia="Arial" w:hAnsi="Arial" w:cs="Arial"/>
          <w:color w:val="000000" w:themeColor="text1"/>
          <w:sz w:val="22"/>
          <w:szCs w:val="22"/>
        </w:rPr>
      </w:pPr>
      <w:r w:rsidRPr="26FB17D3">
        <w:rPr>
          <w:rFonts w:ascii="Arial" w:eastAsia="Arial" w:hAnsi="Arial" w:cs="Arial"/>
          <w:color w:val="000000" w:themeColor="text1"/>
          <w:sz w:val="22"/>
          <w:szCs w:val="22"/>
        </w:rPr>
        <w:t>En la revisión de los documentos institucionales se evidencia que el mapa de riesgos institucional fue aprobado por el Comité Institucional de Gestión y Desempeño en el acta No. 4 del 19 de diciembre de 2018, lo que permit</w:t>
      </w:r>
      <w:r w:rsidR="5CBE2A9A" w:rsidRPr="26FB17D3">
        <w:rPr>
          <w:rFonts w:ascii="Arial" w:eastAsia="Arial" w:hAnsi="Arial" w:cs="Arial"/>
          <w:color w:val="000000" w:themeColor="text1"/>
          <w:sz w:val="22"/>
          <w:szCs w:val="22"/>
        </w:rPr>
        <w:t>ió</w:t>
      </w:r>
      <w:r w:rsidRPr="26FB17D3">
        <w:rPr>
          <w:rFonts w:ascii="Arial" w:eastAsia="Arial" w:hAnsi="Arial" w:cs="Arial"/>
          <w:color w:val="000000" w:themeColor="text1"/>
          <w:sz w:val="22"/>
          <w:szCs w:val="22"/>
        </w:rPr>
        <w:t xml:space="preserve"> establecer una base documental temprana para la identificación y administración de riesgos en la entidad. A partir de esa aprobación, el mapa correspondiente a la vigencia 2019 ya muestra una estructuración por procesos y tipologías de riesgo,</w:t>
      </w:r>
      <w:r w:rsidR="46E26EFB" w:rsidRPr="26FB17D3">
        <w:rPr>
          <w:rFonts w:ascii="Arial" w:eastAsia="Arial" w:hAnsi="Arial" w:cs="Arial"/>
          <w:color w:val="000000" w:themeColor="text1"/>
          <w:sz w:val="22"/>
          <w:szCs w:val="22"/>
        </w:rPr>
        <w:t xml:space="preserve"> </w:t>
      </w:r>
      <w:r w:rsidRPr="26FB17D3">
        <w:rPr>
          <w:rFonts w:ascii="Arial" w:eastAsia="Arial" w:hAnsi="Arial" w:cs="Arial"/>
          <w:color w:val="000000" w:themeColor="text1"/>
          <w:sz w:val="22"/>
          <w:szCs w:val="22"/>
        </w:rPr>
        <w:t xml:space="preserve">con controles asociados, nivel de riesgo, causa, consecuencia y seguimiento documentado, lo que evidencia que la gestión del riesgo no se ha desarrollado como un ejercicio aislado, sino como una práctica institucional progresiva y verificable. </w:t>
      </w:r>
    </w:p>
    <w:p w14:paraId="353CBC8E" w14:textId="17AB858C" w:rsidR="2DA606CB" w:rsidRDefault="062203D6" w:rsidP="17843727">
      <w:pPr>
        <w:spacing w:line="360" w:lineRule="auto"/>
        <w:jc w:val="both"/>
        <w:rPr>
          <w:rFonts w:ascii="Arial" w:eastAsia="Arial" w:hAnsi="Arial" w:cs="Arial"/>
          <w:color w:val="000000" w:themeColor="text1"/>
          <w:sz w:val="22"/>
          <w:szCs w:val="22"/>
        </w:rPr>
      </w:pPr>
      <w:r w:rsidRPr="26FB17D3">
        <w:rPr>
          <w:rFonts w:ascii="Arial" w:eastAsia="Arial" w:hAnsi="Arial" w:cs="Arial"/>
          <w:color w:val="000000" w:themeColor="text1"/>
          <w:sz w:val="22"/>
          <w:szCs w:val="22"/>
        </w:rPr>
        <w:t>En ese documento histórico se observa que, desde Planeación Estratégica, la entidad ya había identificado riesgos</w:t>
      </w:r>
      <w:r w:rsidR="0C542011" w:rsidRPr="26FB17D3">
        <w:rPr>
          <w:rFonts w:ascii="Arial" w:eastAsia="Arial" w:hAnsi="Arial" w:cs="Arial"/>
          <w:color w:val="000000" w:themeColor="text1"/>
          <w:sz w:val="22"/>
          <w:szCs w:val="22"/>
        </w:rPr>
        <w:t xml:space="preserve"> </w:t>
      </w:r>
      <w:r w:rsidR="0C542011" w:rsidRPr="001E0E96">
        <w:rPr>
          <w:rFonts w:ascii="Arial" w:eastAsia="Arial" w:hAnsi="Arial" w:cs="Arial"/>
          <w:color w:val="000000" w:themeColor="text1"/>
          <w:sz w:val="22"/>
          <w:szCs w:val="22"/>
        </w:rPr>
        <w:t xml:space="preserve">asociados a la gestión, tales como: </w:t>
      </w:r>
      <w:r w:rsidRPr="001E0E96">
        <w:rPr>
          <w:rFonts w:ascii="Arial" w:eastAsia="Arial" w:hAnsi="Arial" w:cs="Arial"/>
          <w:color w:val="000000" w:themeColor="text1"/>
          <w:sz w:val="22"/>
          <w:szCs w:val="22"/>
        </w:rPr>
        <w:t>l</w:t>
      </w:r>
      <w:r w:rsidRPr="26FB17D3">
        <w:rPr>
          <w:rFonts w:ascii="Arial" w:eastAsia="Arial" w:hAnsi="Arial" w:cs="Arial"/>
          <w:color w:val="000000" w:themeColor="text1"/>
          <w:sz w:val="22"/>
          <w:szCs w:val="22"/>
        </w:rPr>
        <w:t xml:space="preserve">a falta de análisis de la información reportada, los retrasos en el reporte de instrumentos de planeación para seguimiento y control, la baja ejecución de metas de planes, programas o proyectos institucionales y el uso de poder para favorecer a terceros en la toma de decisiones sobre recursos. En Gestión Integral se registraban riesgos asociados a la deficiencia en la comunicación y seguimiento de lineamientos institucionales, al incumplimiento del propósito de mejora institucional permanente, a la proyección de respuestas no acordes con el objeto de la PQRS o denuncia, a la extralimitación de funciones y al incumplimiento de términos para atender PQRSD. En Docencia se identificaban riesgos relacionados con la evaluación inadecuada de programas curriculares, la vinculación inadecuada de docentes frente al perfil requerido, el incumplimiento de la programación de actividades académicas, el aumento de la deserción estudiantil, la falsedad en diplomas y actas de grado y la no asignación del puntaje salarial por productividad académica. </w:t>
      </w:r>
    </w:p>
    <w:p w14:paraId="6A5A1FBE" w14:textId="7CD53C59" w:rsidR="2DA606CB" w:rsidRDefault="062203D6" w:rsidP="17843727">
      <w:pPr>
        <w:spacing w:line="360" w:lineRule="auto"/>
        <w:jc w:val="both"/>
        <w:rPr>
          <w:rFonts w:ascii="Arial" w:eastAsia="Arial" w:hAnsi="Arial" w:cs="Arial"/>
          <w:color w:val="000000" w:themeColor="text1"/>
          <w:sz w:val="22"/>
          <w:szCs w:val="22"/>
        </w:rPr>
      </w:pPr>
      <w:r w:rsidRPr="26FB17D3">
        <w:rPr>
          <w:rFonts w:ascii="Arial" w:eastAsia="Arial" w:hAnsi="Arial" w:cs="Arial"/>
          <w:color w:val="000000" w:themeColor="text1"/>
          <w:sz w:val="22"/>
          <w:szCs w:val="22"/>
        </w:rPr>
        <w:t xml:space="preserve">El histórico de la matriz también muestra riesgos relevantes en Gestión Financiera, entre ellos inconsistencias en la información reportada para la razonabilidad de los estados financieros, presentación inoportuna de información financiera, incumplimiento de compromisos de pago, cancelación de obligaciones sin requisitos de ley, destinación indebida de recursos públicos, pérdidas de recursos financieros y fallas en la operatividad del aplicativo SIIF. De igual forma, en Gestión Tecnológica se evidencian riesgos como falla en el servicio del file server, detrimento del desempeño y capacidad de los sistemas, falla de la página web institucional, pérdida o fuga de datos de servidores, manipulación o adulteración de sistemas de </w:t>
      </w:r>
      <w:r w:rsidRPr="26FB17D3">
        <w:rPr>
          <w:rFonts w:ascii="Arial" w:eastAsia="Arial" w:hAnsi="Arial" w:cs="Arial"/>
          <w:color w:val="000000" w:themeColor="text1"/>
          <w:sz w:val="22"/>
          <w:szCs w:val="22"/>
        </w:rPr>
        <w:lastRenderedPageBreak/>
        <w:t>información, robo de elementos de infraestructura tecnológica, falla en redes de comunicaciones, fallas en el sistema de back</w:t>
      </w:r>
      <w:r w:rsidR="10B58806" w:rsidRPr="26FB17D3">
        <w:rPr>
          <w:rFonts w:ascii="Arial" w:eastAsia="Arial" w:hAnsi="Arial" w:cs="Arial"/>
          <w:color w:val="000000" w:themeColor="text1"/>
          <w:sz w:val="22"/>
          <w:szCs w:val="22"/>
        </w:rPr>
        <w:t>-U</w:t>
      </w:r>
      <w:r w:rsidRPr="26FB17D3">
        <w:rPr>
          <w:rFonts w:ascii="Arial" w:eastAsia="Arial" w:hAnsi="Arial" w:cs="Arial"/>
          <w:color w:val="000000" w:themeColor="text1"/>
          <w:sz w:val="22"/>
          <w:szCs w:val="22"/>
        </w:rPr>
        <w:t xml:space="preserve">p y afectaciones por ausencia de segregación de ambientes. </w:t>
      </w:r>
    </w:p>
    <w:p w14:paraId="554AAC53" w14:textId="2B35BC8D"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 xml:space="preserve">Adicionalmente, la matriz 2019 permite verificar riesgos en Gestión Documental, Gestión de la Comunicación, Asesorías y Asistencia Técnica, Gestión Administrativa, Gestión del Talento Humano, Investigación y Evaluación y Autoevaluación. Allí aparecen, entre otros, riesgos por insuficiencia de espacios e insumos para archivos de gestión, inadecuada aplicación de tablas de retención documental, inoportunidad en la difusión de la información, deterioro de la imagen institucional, fallas en el suministro de información para el cumplimiento de acuerdos con entidades, demora en la adjudicación de contratos, pérdida de bienes muebles, documentación laboral archivada de forma inadecuada, pérdida de trazabilidad administrativa, baja participación de pares académicos, uso inadecuado de recursos de investigación, ausencia de seguimiento a planes de mejoramiento y modificación indebida de informes de auditoría. Esto demuestra que, desde esa vigencia, la entidad ya manejaba un universo amplio de riesgos distribuidos por procesos y tipologías, con controles específicos para cada caso. </w:t>
      </w:r>
    </w:p>
    <w:p w14:paraId="0DF4D82F" w14:textId="3DAF8ACE"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 xml:space="preserve">Sobre esa base histórica, la ESAP fue ampliando y afinando la identificación de riesgos año tras año. La matriz de 2020, correspondiente al mapa de riesgos de proceso y de corrupción, refleja una organización más amplia del universo de riesgos institucionales, con riesgos asociados a Planeación Estratégica, Gestión Integral, Asesorías y Asistencia Técnica, Gestión Administrativa, Gestión Financiera, Gestión Tecnológica, Gestión Documental, Gestión de la Comunicación, Gestión del Talento Humano, Docencia, Investigación, Evaluación y Autoevaluación. Esta evolución muestra una transición desde un mapa inicial hacia una lectura más integral de los procesos y de las fuentes de riesgo, incorporando con mayor claridad tipologías relacionadas con la gestión, la corrupción y la operación institucional. En esa lógica, la validación de matrices no debe limitarse a la vigencia actual, sino comparar qué riesgos aparecieron, cuáles persistieron, cuáles cambiaron de clasificación y cuáles dejaron de existir por ajustes organizacionales o metodológicos. </w:t>
      </w:r>
    </w:p>
    <w:p w14:paraId="6C02E729" w14:textId="20656F42"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 xml:space="preserve">En la vigencia 2021, la ESAP fortaleció de manera más específica el componente de seguridad de la información y seguridad digital. La matriz de ese año separa riesgos asociados a la pérdida de confidencialidad, integridad y disponibilidad de la información, vinculando activos como certificados presupuestales, registros contables, bases de datos, actas, informes de gestión, documentos académicos y sistemas de información institucional. Allí se observan riesgos como la modificación no autorizada de información financiera, la segmentación indebida de permisos, la pérdida de confidencialidad de información clasificada </w:t>
      </w:r>
      <w:r w:rsidRPr="17843727">
        <w:rPr>
          <w:rFonts w:ascii="Arial" w:eastAsia="Arial" w:hAnsi="Arial" w:cs="Arial"/>
          <w:color w:val="000000" w:themeColor="text1"/>
          <w:sz w:val="22"/>
          <w:szCs w:val="22"/>
        </w:rPr>
        <w:lastRenderedPageBreak/>
        <w:t xml:space="preserve">o reservada, la indisponibilidad de información por ausencia de respaldos oficiales, el acceso indebido al sistema SIIF, la pérdida de integridad en las PQRSD y la indisponibilidad del servicio de biblioteca por fallas tecnológicas. Ese paso es relevante porque evidencia que la entidad comenzó a tratar la seguridad de la información como una tipología diferenciada, con activos concretos, amenazas, vulnerabilidades y consecuencias definidas. </w:t>
      </w:r>
    </w:p>
    <w:p w14:paraId="5B8EB2C8" w14:textId="58D4C018"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En 2022, la evolución normativa dio un salto formal con la Resolución 270 del 28 de marzo de 2022, mediante la cual la ESAP actualizó los lineamientos del Sistema de Gestión de Seguridad de la Información y estableció estándares para la implementación de la estrategia de seguridad digital. Esa resolución confirma que la seguridad de la información dejó de ser un componente meramente operativo y pasó a convertirse en una línea institucional con reglas, responsabilidades y exigencias técnicas propias. Posteriormente, la Resolución 1883 del 13 de septiembre de 2024 cambió la designación del Oficial de Seguridad y Privacidad de la Información, trasladando ese rol a la Oficina de Planeación. En ese mismo acto quedaron consignados los conceptos técnicos de la Oficina Jurídica y de la Oficina de Control Interno, los cuales respaldaron la reasignación del rol hacia Planeación, en coherencia con los criterios de autonomía, independencia, monitoreo y autoridad requeridos para este tipo de función.</w:t>
      </w:r>
    </w:p>
    <w:p w14:paraId="1AACD2C6" w14:textId="364FFAF4"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En 2023, la ESAP avanzó en la formalización de su política institucional de administración del riesgo mediante la Resolución 246 del 1 de marzo de 2023, acto que actualizó la política de riesgos de la entidad. Ese mismo año la política empezó a consolidar un enfoque más amplio, al reconocer de forma expresa los riesgos de gestión, corrupción e integridad, seguridad de la información y fiscales como parte de una sola arquitectura institucional de administración del riesgo. Este desarrollo se encuentra luego recogido y precisado en el documento institucional “Política y Metodología para la Administración del Riesgo”, código EI-DE-002, con fecha 29 de noviembre de 2024, en el cual se deja trazabilidad de la versión inicial de 2023 y de la versión ajustada en 2024, así como de su aprobación por el CICCI y la Oficina de Planeación. La política vigente también establece que la gestión del riesgo aplica a todos los procesos del sistema de gestión de la ESAP, con niveles de responsabilidad definidos para la alta dirección, la primera línea, la segunda línea y la tercera línea de defensa.</w:t>
      </w:r>
    </w:p>
    <w:p w14:paraId="4C9CBC90" w14:textId="5125A51D"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 xml:space="preserve">En 2024, además de la actualización metodológica y de la reasignación del rol de seguridad de la información, el Comité Institucional de Coordinación de Control Interno dejó constancia de observaciones importantes sobre el mapa de riesgos de la entidad. En el acta del segundo CICCI de diciembre de 2024 se revisó la política de riesgos y se evidenció la necesidad de seguir fortaleciendo la coherencia entre la gestión del riesgo, los controles implementados y la información institucional publicada. Ese mismo contexto llevó a reforzar la importancia de </w:t>
      </w:r>
      <w:r w:rsidRPr="17843727">
        <w:rPr>
          <w:rFonts w:ascii="Arial" w:eastAsia="Arial" w:hAnsi="Arial" w:cs="Arial"/>
          <w:color w:val="000000" w:themeColor="text1"/>
          <w:sz w:val="22"/>
          <w:szCs w:val="22"/>
        </w:rPr>
        <w:lastRenderedPageBreak/>
        <w:t>actualizar las matrices con criterios metodológicos homogéneos, en particular frente a la articulación con los procesos, la identificación de riesgos y el seguimiento a los controles.</w:t>
      </w:r>
    </w:p>
    <w:p w14:paraId="38276B6D" w14:textId="302B2AEF"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De forma complementaria, y conforme a la información aportada por la dependencia, el 12 de febrero de 2026 la entidad participó en un taller presencial de gestión del riesgo realizado por el Departamento Administrativo de la Función Pública, dirigido a los enlaces de planeación, en el que se socializó la Guía para la Administración del Riesgo versión 7 y sus principales ajustes metodológicos. Así mismo, el 16 de abril de 2026 se adelantó un taller de gestión del riesgo con el DAFP dirigido a gestores de proceso de Sede Central, Teusaquillo y Rosales, y de manera remota a enlaces de las Direcciones Territoriales, con el propósito de reforzar la comprensión de los cambios incorporados en la versión 7 de la guía. Estos espacios resultan pertinentes en los antecedentes porque evidencian el proceso de apropiación institucional previo a la actualización documental que hoy se desarrolla.</w:t>
      </w:r>
    </w:p>
    <w:p w14:paraId="48C707CE" w14:textId="69E796B8"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 xml:space="preserve">Finalmente, como soporte técnico más reciente, la ESAP formuló la Guía para la Gestión Integral del Riesgo, código EI-GU-003, versión 01, fechada el 19 de febrero de 2026. Esta guía consolida en un solo documento los lineamientos para la administración integral del riesgo en la entidad y desarrolla capítulos específicos para riesgos generales de gestión, riesgos fiscales, riesgos de seguridad de la información y riesgos para la integridad pública, incluyendo soborno, fraude, conflicto de intereses, corrupción y lavado de activos/financiación del terrorismo y de la proliferación de armas de destrucción masiva. La guía también incorpora lineamientos para el seguimiento, monitoreo y revisión mediante indicadores clave de proceso y de riesgo, lo que la convierte en el referente metodológico más completo disponible para orientar la actualización documental actual. </w:t>
      </w:r>
    </w:p>
    <w:p w14:paraId="15E2DC44" w14:textId="28572FF2" w:rsidR="2DA606CB" w:rsidRDefault="062203D6" w:rsidP="17843727">
      <w:pPr>
        <w:spacing w:line="360" w:lineRule="auto"/>
        <w:jc w:val="both"/>
        <w:rPr>
          <w:rFonts w:ascii="Arial" w:eastAsia="Arial" w:hAnsi="Arial" w:cs="Arial"/>
          <w:color w:val="000000" w:themeColor="text1"/>
          <w:sz w:val="22"/>
          <w:szCs w:val="22"/>
        </w:rPr>
      </w:pPr>
      <w:r w:rsidRPr="17843727">
        <w:rPr>
          <w:rFonts w:ascii="Arial" w:eastAsia="Arial" w:hAnsi="Arial" w:cs="Arial"/>
          <w:color w:val="000000" w:themeColor="text1"/>
          <w:sz w:val="22"/>
          <w:szCs w:val="22"/>
        </w:rPr>
        <w:t>Los antecedentes muestran una evolución institucional verificable: primero, la construcción y aprobación de mapas de riesgos con corte histórico desde 2018; luego, la formalización y actualización de la política institucional de riesgos en 2023 y 2024; después, el fortalecimiento del componente de seguridad de la información mediante actos administrativos específicos; y, finalmente, la formulación de una guía integral de gestión del riesgo en 2026 que reúne en una sola estructura técnica los criterios para riesgos de gestión, integridad pública, seguridad de la información y riesgos fiscales. Esta secuencia permite sustentar que el plan de transición no parte de cero, sino de un proceso institucional previo que ya cuenta con avances normativos, metodológicos y operativos documentados, y que ahora exige una validación histórica más robusta de las matrices de riesgo año tras año.</w:t>
      </w:r>
    </w:p>
    <w:p w14:paraId="67DB6888" w14:textId="4FF356D2" w:rsidR="2DA606CB" w:rsidRDefault="2DA606CB" w:rsidP="2DA606CB">
      <w:pPr>
        <w:spacing w:line="360" w:lineRule="auto"/>
        <w:jc w:val="both"/>
        <w:rPr>
          <w:rFonts w:ascii="Arial" w:eastAsia="Arial" w:hAnsi="Arial" w:cs="Arial"/>
          <w:color w:val="000000" w:themeColor="text1"/>
          <w:sz w:val="22"/>
          <w:szCs w:val="22"/>
        </w:rPr>
      </w:pPr>
    </w:p>
    <w:p w14:paraId="0559FF63" w14:textId="5EE6FA50" w:rsidR="250B9146" w:rsidRDefault="539D8E57" w:rsidP="007E3654">
      <w:pPr>
        <w:pStyle w:val="Ttulo2"/>
        <w:numPr>
          <w:ilvl w:val="0"/>
          <w:numId w:val="2"/>
        </w:numPr>
        <w:jc w:val="both"/>
        <w:rPr>
          <w:rFonts w:ascii="Arial" w:eastAsia="Arial" w:hAnsi="Arial" w:cs="Arial"/>
          <w:b/>
          <w:bCs/>
          <w:color w:val="auto"/>
          <w:sz w:val="22"/>
          <w:szCs w:val="22"/>
          <w:lang w:val="es-CO"/>
        </w:rPr>
      </w:pPr>
      <w:bookmarkStart w:id="8" w:name="_Toc2114565028"/>
      <w:bookmarkStart w:id="9" w:name="_Toc582258990"/>
      <w:r w:rsidRPr="17843727">
        <w:rPr>
          <w:rFonts w:ascii="Arial" w:eastAsia="Arial" w:hAnsi="Arial" w:cs="Arial"/>
          <w:b/>
          <w:bCs/>
          <w:color w:val="auto"/>
          <w:sz w:val="22"/>
          <w:szCs w:val="22"/>
          <w:lang w:val="es-CO"/>
        </w:rPr>
        <w:lastRenderedPageBreak/>
        <w:t>Desarrollo de los objetivos</w:t>
      </w:r>
      <w:bookmarkEnd w:id="8"/>
      <w:bookmarkEnd w:id="9"/>
    </w:p>
    <w:p w14:paraId="24078E65" w14:textId="13E84DDA" w:rsidR="44BB25C2" w:rsidRDefault="44BB25C2" w:rsidP="44BB25C2">
      <w:pPr>
        <w:rPr>
          <w:lang w:val="es-CO"/>
        </w:rPr>
      </w:pPr>
    </w:p>
    <w:tbl>
      <w:tblPr>
        <w:tblW w:w="9167"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6A0" w:firstRow="1" w:lastRow="0" w:firstColumn="1" w:lastColumn="0" w:noHBand="1" w:noVBand="1"/>
      </w:tblPr>
      <w:tblGrid>
        <w:gridCol w:w="2187"/>
        <w:gridCol w:w="987"/>
        <w:gridCol w:w="2340"/>
        <w:gridCol w:w="2014"/>
        <w:gridCol w:w="1639"/>
      </w:tblGrid>
      <w:tr w:rsidR="216E5FD4" w14:paraId="714E2F74" w14:textId="77777777" w:rsidTr="26FB17D3">
        <w:trPr>
          <w:trHeight w:val="300"/>
        </w:trPr>
        <w:tc>
          <w:tcPr>
            <w:tcW w:w="2310" w:type="dxa"/>
            <w:vAlign w:val="center"/>
          </w:tcPr>
          <w:p w14:paraId="2B724922" w14:textId="40ED65DF" w:rsidR="216E5FD4" w:rsidRDefault="5051530C" w:rsidP="44BB25C2">
            <w:pPr>
              <w:spacing w:after="0"/>
              <w:jc w:val="center"/>
              <w:rPr>
                <w:rFonts w:ascii="Arial" w:eastAsia="Arial" w:hAnsi="Arial" w:cs="Arial"/>
                <w:b/>
                <w:bCs/>
                <w:sz w:val="22"/>
                <w:szCs w:val="22"/>
              </w:rPr>
            </w:pPr>
            <w:r w:rsidRPr="44BB25C2">
              <w:rPr>
                <w:rFonts w:ascii="Arial" w:eastAsia="Arial" w:hAnsi="Arial" w:cs="Arial"/>
                <w:b/>
                <w:bCs/>
                <w:sz w:val="22"/>
                <w:szCs w:val="22"/>
              </w:rPr>
              <w:t>Objetivo específico</w:t>
            </w:r>
          </w:p>
        </w:tc>
        <w:tc>
          <w:tcPr>
            <w:tcW w:w="990" w:type="dxa"/>
            <w:vAlign w:val="center"/>
          </w:tcPr>
          <w:p w14:paraId="5D1B843F" w14:textId="54C6D21E" w:rsidR="4CA1D688" w:rsidRDefault="691F737E" w:rsidP="44BB25C2">
            <w:pPr>
              <w:spacing w:after="0"/>
              <w:jc w:val="center"/>
              <w:rPr>
                <w:rFonts w:ascii="Arial" w:eastAsia="Arial" w:hAnsi="Arial" w:cs="Arial"/>
                <w:color w:val="000000" w:themeColor="text1"/>
                <w:sz w:val="22"/>
                <w:szCs w:val="22"/>
              </w:rPr>
            </w:pPr>
            <w:r w:rsidRPr="44BB25C2">
              <w:rPr>
                <w:rFonts w:ascii="Arial" w:eastAsia="Arial" w:hAnsi="Arial" w:cs="Arial"/>
                <w:b/>
                <w:bCs/>
                <w:color w:val="000000" w:themeColor="text1"/>
                <w:sz w:val="22"/>
                <w:szCs w:val="22"/>
              </w:rPr>
              <w:t>Código</w:t>
            </w:r>
          </w:p>
        </w:tc>
        <w:tc>
          <w:tcPr>
            <w:tcW w:w="2430" w:type="dxa"/>
            <w:vAlign w:val="center"/>
          </w:tcPr>
          <w:p w14:paraId="30AB1AC1" w14:textId="524E29D4" w:rsidR="216E5FD4" w:rsidRDefault="5051530C" w:rsidP="44BB25C2">
            <w:pPr>
              <w:spacing w:after="0"/>
              <w:jc w:val="center"/>
              <w:rPr>
                <w:rFonts w:ascii="Arial" w:eastAsia="Arial" w:hAnsi="Arial" w:cs="Arial"/>
                <w:b/>
                <w:bCs/>
                <w:sz w:val="22"/>
                <w:szCs w:val="22"/>
              </w:rPr>
            </w:pPr>
            <w:r w:rsidRPr="44BB25C2">
              <w:rPr>
                <w:rFonts w:ascii="Arial" w:eastAsia="Arial" w:hAnsi="Arial" w:cs="Arial"/>
                <w:b/>
                <w:bCs/>
                <w:sz w:val="22"/>
                <w:szCs w:val="22"/>
              </w:rPr>
              <w:t>Actividad</w:t>
            </w:r>
          </w:p>
        </w:tc>
        <w:tc>
          <w:tcPr>
            <w:tcW w:w="1785" w:type="dxa"/>
            <w:vAlign w:val="center"/>
          </w:tcPr>
          <w:p w14:paraId="1885BDFD" w14:textId="1B49ED19" w:rsidR="216E5FD4" w:rsidRDefault="5051530C" w:rsidP="44BB25C2">
            <w:pPr>
              <w:spacing w:after="0"/>
              <w:jc w:val="center"/>
              <w:rPr>
                <w:rFonts w:ascii="Arial" w:eastAsia="Arial" w:hAnsi="Arial" w:cs="Arial"/>
                <w:b/>
                <w:bCs/>
                <w:sz w:val="22"/>
                <w:szCs w:val="22"/>
              </w:rPr>
            </w:pPr>
            <w:r w:rsidRPr="44BB25C2">
              <w:rPr>
                <w:rFonts w:ascii="Arial" w:eastAsia="Arial" w:hAnsi="Arial" w:cs="Arial"/>
                <w:b/>
                <w:bCs/>
                <w:sz w:val="22"/>
                <w:szCs w:val="22"/>
              </w:rPr>
              <w:t>Producto esperado</w:t>
            </w:r>
          </w:p>
        </w:tc>
        <w:tc>
          <w:tcPr>
            <w:tcW w:w="1652" w:type="dxa"/>
            <w:vAlign w:val="center"/>
          </w:tcPr>
          <w:p w14:paraId="45D7E63B" w14:textId="6C109020" w:rsidR="216E5FD4" w:rsidRDefault="5051530C" w:rsidP="44BB25C2">
            <w:pPr>
              <w:spacing w:after="0"/>
              <w:jc w:val="center"/>
              <w:rPr>
                <w:rFonts w:ascii="Arial" w:eastAsia="Arial" w:hAnsi="Arial" w:cs="Arial"/>
                <w:b/>
                <w:bCs/>
                <w:sz w:val="22"/>
                <w:szCs w:val="22"/>
              </w:rPr>
            </w:pPr>
            <w:r w:rsidRPr="44BB25C2">
              <w:rPr>
                <w:rFonts w:ascii="Arial" w:eastAsia="Arial" w:hAnsi="Arial" w:cs="Arial"/>
                <w:b/>
                <w:bCs/>
                <w:sz w:val="22"/>
                <w:szCs w:val="22"/>
              </w:rPr>
              <w:t>Responsable</w:t>
            </w:r>
          </w:p>
        </w:tc>
      </w:tr>
      <w:tr w:rsidR="216E5FD4" w14:paraId="2F4937F2" w14:textId="77777777" w:rsidTr="26FB17D3">
        <w:trPr>
          <w:trHeight w:val="300"/>
        </w:trPr>
        <w:tc>
          <w:tcPr>
            <w:tcW w:w="2310" w:type="dxa"/>
            <w:vAlign w:val="center"/>
          </w:tcPr>
          <w:p w14:paraId="2A104E3D" w14:textId="20DDDB50" w:rsidR="216E5FD4" w:rsidRDefault="1AA0ACF3" w:rsidP="007E3654">
            <w:pPr>
              <w:spacing w:after="0"/>
              <w:jc w:val="both"/>
              <w:rPr>
                <w:rFonts w:ascii="Arial" w:eastAsia="Arial" w:hAnsi="Arial" w:cs="Arial"/>
                <w:sz w:val="22"/>
                <w:szCs w:val="22"/>
              </w:rPr>
            </w:pPr>
            <w:r w:rsidRPr="4CA1D688">
              <w:rPr>
                <w:rFonts w:ascii="Arial" w:eastAsia="Arial" w:hAnsi="Arial" w:cs="Arial"/>
                <w:sz w:val="22"/>
                <w:szCs w:val="22"/>
              </w:rPr>
              <w:t>Actualizar la metodología institucional de gestión del riesgo de la ESAP, alineándola con los lineamientos establecidos en la Guía para la Administración del Riesgo para Entidades Públicas – versión 7 del DAFP.</w:t>
            </w:r>
          </w:p>
        </w:tc>
        <w:tc>
          <w:tcPr>
            <w:tcW w:w="990" w:type="dxa"/>
            <w:vAlign w:val="center"/>
          </w:tcPr>
          <w:p w14:paraId="4253F3FE" w14:textId="369DAF67" w:rsidR="4CA1D688" w:rsidRDefault="4CA1D688" w:rsidP="007E3654">
            <w:pPr>
              <w:spacing w:after="0"/>
              <w:jc w:val="both"/>
              <w:rPr>
                <w:rFonts w:ascii="Arial" w:eastAsia="Arial" w:hAnsi="Arial" w:cs="Arial"/>
                <w:color w:val="000000" w:themeColor="text1"/>
                <w:sz w:val="22"/>
                <w:szCs w:val="22"/>
              </w:rPr>
            </w:pPr>
            <w:r w:rsidRPr="4CA1D688">
              <w:rPr>
                <w:rFonts w:ascii="Arial" w:eastAsia="Arial" w:hAnsi="Arial" w:cs="Arial"/>
                <w:color w:val="000000" w:themeColor="text1"/>
                <w:sz w:val="22"/>
                <w:szCs w:val="22"/>
              </w:rPr>
              <w:t>1.1</w:t>
            </w:r>
          </w:p>
        </w:tc>
        <w:tc>
          <w:tcPr>
            <w:tcW w:w="2430" w:type="dxa"/>
            <w:vAlign w:val="center"/>
          </w:tcPr>
          <w:p w14:paraId="6326E5AA" w14:textId="1E2E3E35" w:rsidR="216E5FD4" w:rsidRDefault="1AA0ACF3" w:rsidP="007E3654">
            <w:pPr>
              <w:spacing w:after="0"/>
              <w:jc w:val="both"/>
              <w:rPr>
                <w:rFonts w:ascii="Arial" w:eastAsia="Arial" w:hAnsi="Arial" w:cs="Arial"/>
                <w:sz w:val="22"/>
                <w:szCs w:val="22"/>
              </w:rPr>
            </w:pPr>
            <w:r w:rsidRPr="4CA1D688">
              <w:rPr>
                <w:rFonts w:ascii="Arial" w:eastAsia="Arial" w:hAnsi="Arial" w:cs="Arial"/>
                <w:sz w:val="22"/>
                <w:szCs w:val="22"/>
              </w:rPr>
              <w:t>Actualizar la estructura de la guía metodológica para riesgos de gestión, integridad pública, seguridad de la información y fiscales</w:t>
            </w:r>
          </w:p>
        </w:tc>
        <w:tc>
          <w:tcPr>
            <w:tcW w:w="1785" w:type="dxa"/>
            <w:vAlign w:val="center"/>
          </w:tcPr>
          <w:p w14:paraId="7C85CC9E" w14:textId="76036D33" w:rsidR="216E5FD4" w:rsidRDefault="1AA0ACF3" w:rsidP="007E3654">
            <w:pPr>
              <w:spacing w:after="0"/>
              <w:jc w:val="both"/>
              <w:rPr>
                <w:rFonts w:ascii="Arial" w:eastAsia="Arial" w:hAnsi="Arial" w:cs="Arial"/>
                <w:sz w:val="22"/>
                <w:szCs w:val="22"/>
              </w:rPr>
            </w:pPr>
            <w:r w:rsidRPr="4CA1D688">
              <w:rPr>
                <w:rFonts w:ascii="Arial" w:eastAsia="Arial" w:hAnsi="Arial" w:cs="Arial"/>
                <w:sz w:val="22"/>
                <w:szCs w:val="22"/>
              </w:rPr>
              <w:t>Guía metodológica institucional actualizada</w:t>
            </w:r>
          </w:p>
        </w:tc>
        <w:tc>
          <w:tcPr>
            <w:tcW w:w="1652" w:type="dxa"/>
            <w:vAlign w:val="center"/>
          </w:tcPr>
          <w:p w14:paraId="66DAA247" w14:textId="5E5F3F31" w:rsidR="216E5FD4" w:rsidRDefault="1AA0ACF3"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216E5FD4" w14:paraId="5D7FEE3D" w14:textId="77777777" w:rsidTr="26FB17D3">
        <w:trPr>
          <w:trHeight w:val="300"/>
        </w:trPr>
        <w:tc>
          <w:tcPr>
            <w:tcW w:w="2310" w:type="dxa"/>
            <w:vAlign w:val="center"/>
          </w:tcPr>
          <w:p w14:paraId="18E4F2C1" w14:textId="1D53247B" w:rsidR="216E5FD4" w:rsidRDefault="1AA0ACF3" w:rsidP="007E3654">
            <w:pPr>
              <w:spacing w:after="0"/>
              <w:jc w:val="both"/>
              <w:rPr>
                <w:rFonts w:ascii="Arial" w:eastAsia="Arial" w:hAnsi="Arial" w:cs="Arial"/>
                <w:sz w:val="22"/>
                <w:szCs w:val="22"/>
              </w:rPr>
            </w:pPr>
            <w:r w:rsidRPr="4CA1D688">
              <w:rPr>
                <w:rFonts w:ascii="Arial" w:eastAsia="Arial" w:hAnsi="Arial" w:cs="Arial"/>
                <w:sz w:val="22"/>
                <w:szCs w:val="22"/>
              </w:rPr>
              <w:t>Actualizar la metodología institucional de gestión del riesgo de la ESAP, alineándola con los lineamientos establecidos en la Guía para la Administración del Riesgo para Entidades Públicas – versión 7 del DAFP.</w:t>
            </w:r>
          </w:p>
        </w:tc>
        <w:tc>
          <w:tcPr>
            <w:tcW w:w="990" w:type="dxa"/>
            <w:vAlign w:val="center"/>
          </w:tcPr>
          <w:p w14:paraId="7C66C0D0" w14:textId="202168C5" w:rsidR="4CA1D688" w:rsidRDefault="4CA1D688" w:rsidP="007E3654">
            <w:pPr>
              <w:spacing w:after="0"/>
              <w:jc w:val="both"/>
              <w:rPr>
                <w:rFonts w:ascii="Arial" w:eastAsia="Arial" w:hAnsi="Arial" w:cs="Arial"/>
                <w:color w:val="000000" w:themeColor="text1"/>
                <w:sz w:val="22"/>
                <w:szCs w:val="22"/>
              </w:rPr>
            </w:pPr>
            <w:r w:rsidRPr="4CA1D688">
              <w:rPr>
                <w:rFonts w:ascii="Arial" w:eastAsia="Arial" w:hAnsi="Arial" w:cs="Arial"/>
                <w:color w:val="000000" w:themeColor="text1"/>
                <w:sz w:val="22"/>
                <w:szCs w:val="22"/>
              </w:rPr>
              <w:t>1.</w:t>
            </w:r>
            <w:r w:rsidR="007E3654">
              <w:rPr>
                <w:rFonts w:ascii="Arial" w:eastAsia="Arial" w:hAnsi="Arial" w:cs="Arial"/>
                <w:color w:val="000000" w:themeColor="text1"/>
                <w:sz w:val="22"/>
                <w:szCs w:val="22"/>
              </w:rPr>
              <w:t>2</w:t>
            </w:r>
          </w:p>
        </w:tc>
        <w:tc>
          <w:tcPr>
            <w:tcW w:w="2430" w:type="dxa"/>
            <w:vAlign w:val="center"/>
          </w:tcPr>
          <w:p w14:paraId="5F2899D1" w14:textId="6EA764BB" w:rsidR="216E5FD4" w:rsidRDefault="5051530C" w:rsidP="44BB25C2">
            <w:pPr>
              <w:spacing w:after="0"/>
              <w:jc w:val="both"/>
              <w:rPr>
                <w:rFonts w:ascii="Arial" w:eastAsia="Arial" w:hAnsi="Arial" w:cs="Arial"/>
                <w:sz w:val="22"/>
                <w:szCs w:val="22"/>
              </w:rPr>
            </w:pPr>
            <w:r w:rsidRPr="44BB25C2">
              <w:rPr>
                <w:rFonts w:ascii="Arial" w:eastAsia="Arial" w:hAnsi="Arial" w:cs="Arial"/>
                <w:sz w:val="22"/>
                <w:szCs w:val="22"/>
              </w:rPr>
              <w:t>Publicar y divulgar la metodología aprobada en Isolución</w:t>
            </w:r>
          </w:p>
        </w:tc>
        <w:tc>
          <w:tcPr>
            <w:tcW w:w="1785" w:type="dxa"/>
            <w:vAlign w:val="center"/>
          </w:tcPr>
          <w:p w14:paraId="37D466F7" w14:textId="7E31EA43" w:rsidR="216E5FD4" w:rsidRDefault="007E3654" w:rsidP="007E3654">
            <w:pPr>
              <w:spacing w:after="0"/>
              <w:jc w:val="both"/>
              <w:rPr>
                <w:rFonts w:ascii="Arial" w:eastAsia="Arial" w:hAnsi="Arial" w:cs="Arial"/>
                <w:sz w:val="22"/>
                <w:szCs w:val="22"/>
              </w:rPr>
            </w:pPr>
            <w:r w:rsidRPr="007E3654">
              <w:rPr>
                <w:rFonts w:ascii="Arial" w:eastAsia="Arial" w:hAnsi="Arial" w:cs="Arial"/>
                <w:sz w:val="22"/>
                <w:szCs w:val="22"/>
              </w:rPr>
              <w:t>Guía metodológica publicada y socializada</w:t>
            </w:r>
          </w:p>
        </w:tc>
        <w:tc>
          <w:tcPr>
            <w:tcW w:w="1652" w:type="dxa"/>
            <w:vAlign w:val="center"/>
          </w:tcPr>
          <w:p w14:paraId="1E2B46FF" w14:textId="11C92A85" w:rsidR="216E5FD4" w:rsidRDefault="1AA0ACF3"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1AE66FDC" w14:textId="77777777" w:rsidTr="26FB17D3">
        <w:trPr>
          <w:trHeight w:val="300"/>
        </w:trPr>
        <w:tc>
          <w:tcPr>
            <w:tcW w:w="2310" w:type="dxa"/>
            <w:vAlign w:val="center"/>
          </w:tcPr>
          <w:p w14:paraId="318DA268" w14:textId="3089C3CA" w:rsidR="4CA1D688" w:rsidRDefault="29F149BF" w:rsidP="44BB25C2">
            <w:pPr>
              <w:spacing w:after="0"/>
              <w:jc w:val="both"/>
              <w:rPr>
                <w:rFonts w:ascii="Arial" w:eastAsia="Arial" w:hAnsi="Arial" w:cs="Arial"/>
                <w:sz w:val="22"/>
                <w:szCs w:val="22"/>
              </w:rPr>
            </w:pPr>
            <w:r w:rsidRPr="44BB25C2">
              <w:rPr>
                <w:rFonts w:ascii="Arial" w:eastAsia="Arial" w:hAnsi="Arial" w:cs="Arial"/>
                <w:sz w:val="22"/>
                <w:szCs w:val="22"/>
                <w:lang w:val="es-CO"/>
              </w:rPr>
              <w:t>Actualizar el contexto interno y externo de riesgos.</w:t>
            </w:r>
          </w:p>
          <w:p w14:paraId="4430CC3F" w14:textId="33DCDDBD" w:rsidR="4CA1D688" w:rsidRDefault="4CA1D688" w:rsidP="007E3654">
            <w:pPr>
              <w:spacing w:after="0"/>
              <w:jc w:val="both"/>
              <w:rPr>
                <w:rFonts w:ascii="Arial" w:eastAsia="Arial" w:hAnsi="Arial" w:cs="Arial"/>
                <w:sz w:val="22"/>
                <w:szCs w:val="22"/>
              </w:rPr>
            </w:pPr>
          </w:p>
        </w:tc>
        <w:tc>
          <w:tcPr>
            <w:tcW w:w="990" w:type="dxa"/>
            <w:vAlign w:val="center"/>
          </w:tcPr>
          <w:p w14:paraId="0CB7B146" w14:textId="2C67A639"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2.1</w:t>
            </w:r>
          </w:p>
        </w:tc>
        <w:tc>
          <w:tcPr>
            <w:tcW w:w="2430" w:type="dxa"/>
            <w:vAlign w:val="center"/>
          </w:tcPr>
          <w:p w14:paraId="4A7FE36E" w14:textId="39FC263A" w:rsidR="4CA1D688" w:rsidRDefault="54AA1109" w:rsidP="44BB25C2">
            <w:pPr>
              <w:spacing w:after="0"/>
              <w:jc w:val="both"/>
              <w:rPr>
                <w:rFonts w:ascii="Arial" w:eastAsia="Arial" w:hAnsi="Arial" w:cs="Arial"/>
                <w:sz w:val="22"/>
                <w:szCs w:val="22"/>
              </w:rPr>
            </w:pPr>
            <w:r w:rsidRPr="44BB25C2">
              <w:rPr>
                <w:rFonts w:ascii="Arial" w:eastAsia="Arial" w:hAnsi="Arial" w:cs="Arial"/>
                <w:sz w:val="22"/>
                <w:szCs w:val="22"/>
              </w:rPr>
              <w:t>Revisar factores internos y externos que impactan la gestión institucional, junto con la actualización de partes interesadas por proceso</w:t>
            </w:r>
          </w:p>
        </w:tc>
        <w:tc>
          <w:tcPr>
            <w:tcW w:w="1785" w:type="dxa"/>
            <w:vAlign w:val="center"/>
          </w:tcPr>
          <w:p w14:paraId="29FF72BD" w14:textId="067D4547" w:rsidR="4CA1D688" w:rsidRDefault="0C933566"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 xml:space="preserve">Insumos para análisis de contexto institucional (Resultados de auditorías, Resultado Diagnóstico de territoriales, Manual de Calidad, Matriz de partes interesadas, Informes de </w:t>
            </w:r>
            <w:r w:rsidRPr="44BB25C2">
              <w:rPr>
                <w:rFonts w:ascii="Arial" w:eastAsia="Arial" w:hAnsi="Arial" w:cs="Arial"/>
                <w:color w:val="000000" w:themeColor="text1"/>
                <w:sz w:val="22"/>
                <w:szCs w:val="22"/>
              </w:rPr>
              <w:lastRenderedPageBreak/>
              <w:t>Gestión, Presentación e instrumento taller de Contexto)</w:t>
            </w:r>
          </w:p>
        </w:tc>
        <w:tc>
          <w:tcPr>
            <w:tcW w:w="1652" w:type="dxa"/>
            <w:vAlign w:val="center"/>
          </w:tcPr>
          <w:p w14:paraId="45ACC93F" w14:textId="4D873827"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lastRenderedPageBreak/>
              <w:t>Dependencia de Planeación</w:t>
            </w:r>
          </w:p>
        </w:tc>
      </w:tr>
      <w:tr w:rsidR="4CA1D688" w14:paraId="44DDAF7A" w14:textId="77777777" w:rsidTr="26FB17D3">
        <w:trPr>
          <w:trHeight w:val="300"/>
        </w:trPr>
        <w:tc>
          <w:tcPr>
            <w:tcW w:w="2310" w:type="dxa"/>
            <w:vAlign w:val="center"/>
          </w:tcPr>
          <w:p w14:paraId="5CA26B72" w14:textId="4832EA36"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Actualizar el contexto interno y externo de riesgos.</w:t>
            </w:r>
          </w:p>
        </w:tc>
        <w:tc>
          <w:tcPr>
            <w:tcW w:w="990" w:type="dxa"/>
            <w:vAlign w:val="center"/>
          </w:tcPr>
          <w:p w14:paraId="7BAD76D2" w14:textId="0D4F0293"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2.2</w:t>
            </w:r>
          </w:p>
        </w:tc>
        <w:tc>
          <w:tcPr>
            <w:tcW w:w="2430" w:type="dxa"/>
            <w:vAlign w:val="center"/>
          </w:tcPr>
          <w:p w14:paraId="3C08C1E2" w14:textId="4051DD3F"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Elaborar matriz DOFA y análisis de contexto institucional</w:t>
            </w:r>
            <w:r w:rsidR="00272E5B">
              <w:rPr>
                <w:rFonts w:ascii="Arial" w:eastAsia="Arial" w:hAnsi="Arial" w:cs="Arial"/>
                <w:sz w:val="22"/>
                <w:szCs w:val="22"/>
              </w:rPr>
              <w:t xml:space="preserve"> </w:t>
            </w:r>
            <w:r w:rsidR="00272E5B">
              <w:rPr>
                <w:rFonts w:ascii="Arial" w:eastAsia="Arial" w:hAnsi="Arial" w:cs="Arial"/>
                <w:color w:val="FF0000"/>
                <w:sz w:val="22"/>
                <w:szCs w:val="22"/>
              </w:rPr>
              <w:t>por proceso</w:t>
            </w:r>
          </w:p>
        </w:tc>
        <w:tc>
          <w:tcPr>
            <w:tcW w:w="1785" w:type="dxa"/>
            <w:vAlign w:val="center"/>
          </w:tcPr>
          <w:p w14:paraId="58A2D7BD" w14:textId="364DF9A5"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Matriz DOFA y análisis de contexto institucional</w:t>
            </w:r>
          </w:p>
        </w:tc>
        <w:tc>
          <w:tcPr>
            <w:tcW w:w="1652" w:type="dxa"/>
            <w:vAlign w:val="center"/>
          </w:tcPr>
          <w:p w14:paraId="080087F6" w14:textId="2FFF3679"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4B14BAA5" w14:textId="77777777" w:rsidTr="26FB17D3">
        <w:trPr>
          <w:trHeight w:val="300"/>
        </w:trPr>
        <w:tc>
          <w:tcPr>
            <w:tcW w:w="2310" w:type="dxa"/>
            <w:vAlign w:val="center"/>
          </w:tcPr>
          <w:p w14:paraId="610684BE" w14:textId="734CC55C"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Actualizar el contexto interno y externo de riesgos.</w:t>
            </w:r>
          </w:p>
        </w:tc>
        <w:tc>
          <w:tcPr>
            <w:tcW w:w="990" w:type="dxa"/>
            <w:vAlign w:val="center"/>
          </w:tcPr>
          <w:p w14:paraId="52AD5EA3" w14:textId="625F48B5"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2.</w:t>
            </w:r>
            <w:r w:rsidR="007E3654">
              <w:rPr>
                <w:rFonts w:ascii="Arial" w:eastAsia="Arial" w:hAnsi="Arial" w:cs="Arial"/>
                <w:sz w:val="22"/>
                <w:szCs w:val="22"/>
              </w:rPr>
              <w:t>3</w:t>
            </w:r>
          </w:p>
        </w:tc>
        <w:tc>
          <w:tcPr>
            <w:tcW w:w="2430" w:type="dxa"/>
            <w:vAlign w:val="center"/>
          </w:tcPr>
          <w:p w14:paraId="32F7EE73" w14:textId="341F8F6B" w:rsidR="4CA1D688" w:rsidRPr="00272E5B" w:rsidRDefault="4CA1D688" w:rsidP="007E3654">
            <w:pPr>
              <w:spacing w:after="0"/>
              <w:jc w:val="both"/>
              <w:rPr>
                <w:rFonts w:ascii="Arial" w:eastAsia="Arial" w:hAnsi="Arial" w:cs="Arial"/>
                <w:color w:val="FF0000"/>
                <w:sz w:val="22"/>
                <w:szCs w:val="22"/>
              </w:rPr>
            </w:pPr>
            <w:r w:rsidRPr="4CA1D688">
              <w:rPr>
                <w:rFonts w:ascii="Arial" w:eastAsia="Arial" w:hAnsi="Arial" w:cs="Arial"/>
                <w:sz w:val="22"/>
                <w:szCs w:val="22"/>
              </w:rPr>
              <w:t>Socializar el contexto actualizado con líderes y gestores de proceso</w:t>
            </w:r>
            <w:r w:rsidR="00272E5B">
              <w:rPr>
                <w:rFonts w:ascii="Arial" w:eastAsia="Arial" w:hAnsi="Arial" w:cs="Arial"/>
                <w:color w:val="FF0000"/>
                <w:sz w:val="22"/>
                <w:szCs w:val="22"/>
              </w:rPr>
              <w:t xml:space="preserve"> por proceso</w:t>
            </w:r>
          </w:p>
        </w:tc>
        <w:tc>
          <w:tcPr>
            <w:tcW w:w="1785" w:type="dxa"/>
            <w:vAlign w:val="center"/>
          </w:tcPr>
          <w:p w14:paraId="7F581922" w14:textId="69EA8C81"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Evidencia de socialización del contexto actualizado</w:t>
            </w:r>
          </w:p>
        </w:tc>
        <w:tc>
          <w:tcPr>
            <w:tcW w:w="1652" w:type="dxa"/>
            <w:vAlign w:val="center"/>
          </w:tcPr>
          <w:p w14:paraId="0EF9FBDD" w14:textId="66D38EDD"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318DBCA7" w14:textId="77777777" w:rsidTr="26FB17D3">
        <w:trPr>
          <w:trHeight w:val="300"/>
        </w:trPr>
        <w:tc>
          <w:tcPr>
            <w:tcW w:w="2310" w:type="dxa"/>
            <w:vAlign w:val="center"/>
          </w:tcPr>
          <w:p w14:paraId="60D64315" w14:textId="3C759A2A" w:rsidR="4CA1D688" w:rsidRDefault="7A597A45" w:rsidP="44BB25C2">
            <w:pPr>
              <w:spacing w:after="0"/>
              <w:jc w:val="both"/>
              <w:rPr>
                <w:rFonts w:ascii="Arial" w:eastAsia="Arial" w:hAnsi="Arial" w:cs="Arial"/>
                <w:sz w:val="22"/>
                <w:szCs w:val="22"/>
              </w:rPr>
            </w:pPr>
            <w:r w:rsidRPr="44BB25C2">
              <w:rPr>
                <w:rFonts w:ascii="Arial" w:eastAsia="Arial" w:hAnsi="Arial" w:cs="Arial"/>
                <w:sz w:val="22"/>
                <w:szCs w:val="22"/>
                <w:lang w:val="es-CO"/>
              </w:rPr>
              <w:t>Afianzar la cultura de gestión preventiva del riesgo en la entidad.</w:t>
            </w:r>
          </w:p>
          <w:p w14:paraId="1782C952" w14:textId="616B684C" w:rsidR="4CA1D688" w:rsidRDefault="4CA1D688" w:rsidP="007E3654">
            <w:pPr>
              <w:spacing w:after="0"/>
              <w:jc w:val="both"/>
              <w:rPr>
                <w:rFonts w:ascii="Arial" w:eastAsia="Arial" w:hAnsi="Arial" w:cs="Arial"/>
                <w:sz w:val="22"/>
                <w:szCs w:val="22"/>
              </w:rPr>
            </w:pPr>
          </w:p>
        </w:tc>
        <w:tc>
          <w:tcPr>
            <w:tcW w:w="990" w:type="dxa"/>
            <w:vAlign w:val="center"/>
          </w:tcPr>
          <w:p w14:paraId="1FC65FC7" w14:textId="7692B4F9" w:rsidR="4CA1D688" w:rsidRDefault="691F737E" w:rsidP="007E3654">
            <w:pPr>
              <w:spacing w:after="0"/>
              <w:jc w:val="both"/>
              <w:rPr>
                <w:rFonts w:ascii="Arial" w:eastAsia="Arial" w:hAnsi="Arial" w:cs="Arial"/>
                <w:sz w:val="22"/>
                <w:szCs w:val="22"/>
              </w:rPr>
            </w:pPr>
            <w:r w:rsidRPr="44BB25C2">
              <w:rPr>
                <w:rFonts w:ascii="Arial" w:eastAsia="Arial" w:hAnsi="Arial" w:cs="Arial"/>
                <w:sz w:val="22"/>
                <w:szCs w:val="22"/>
              </w:rPr>
              <w:t>3.</w:t>
            </w:r>
            <w:r w:rsidR="70DF5653" w:rsidRPr="44BB25C2">
              <w:rPr>
                <w:rFonts w:ascii="Arial" w:eastAsia="Arial" w:hAnsi="Arial" w:cs="Arial"/>
                <w:sz w:val="22"/>
                <w:szCs w:val="22"/>
              </w:rPr>
              <w:t>1</w:t>
            </w:r>
          </w:p>
        </w:tc>
        <w:tc>
          <w:tcPr>
            <w:tcW w:w="2430" w:type="dxa"/>
            <w:vAlign w:val="center"/>
          </w:tcPr>
          <w:p w14:paraId="289901F7" w14:textId="13EF416E" w:rsidR="4CA1D688" w:rsidRDefault="6DA226D2"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Diseñar campañas de sensibilización sobre cultura del riesgo (Generar piezas comunicativas e infografías institucionales)</w:t>
            </w:r>
          </w:p>
        </w:tc>
        <w:tc>
          <w:tcPr>
            <w:tcW w:w="1785" w:type="dxa"/>
            <w:vAlign w:val="center"/>
          </w:tcPr>
          <w:p w14:paraId="1EA7AEEE" w14:textId="61EFE615" w:rsidR="4CA1D688" w:rsidRDefault="00934223"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Campañas diseñadas</w:t>
            </w:r>
          </w:p>
        </w:tc>
        <w:tc>
          <w:tcPr>
            <w:tcW w:w="1652" w:type="dxa"/>
            <w:vAlign w:val="center"/>
          </w:tcPr>
          <w:p w14:paraId="5DE89302" w14:textId="66D38EDD" w:rsidR="4CA1D688" w:rsidRDefault="62D95A76" w:rsidP="44BB25C2">
            <w:pPr>
              <w:spacing w:after="0"/>
              <w:jc w:val="both"/>
              <w:rPr>
                <w:rFonts w:ascii="Arial" w:eastAsia="Arial" w:hAnsi="Arial" w:cs="Arial"/>
                <w:sz w:val="22"/>
                <w:szCs w:val="22"/>
              </w:rPr>
            </w:pPr>
            <w:r w:rsidRPr="44BB25C2">
              <w:rPr>
                <w:rFonts w:ascii="Arial" w:eastAsia="Arial" w:hAnsi="Arial" w:cs="Arial"/>
                <w:sz w:val="22"/>
                <w:szCs w:val="22"/>
              </w:rPr>
              <w:t>Dependencia de Planeación</w:t>
            </w:r>
          </w:p>
          <w:p w14:paraId="007FB99B" w14:textId="24E5876E" w:rsidR="4CA1D688" w:rsidRDefault="4CA1D688" w:rsidP="007E3654">
            <w:pPr>
              <w:spacing w:after="0"/>
              <w:jc w:val="both"/>
              <w:rPr>
                <w:rFonts w:ascii="Arial" w:eastAsia="Arial" w:hAnsi="Arial" w:cs="Arial"/>
                <w:sz w:val="22"/>
                <w:szCs w:val="22"/>
              </w:rPr>
            </w:pPr>
          </w:p>
        </w:tc>
      </w:tr>
      <w:tr w:rsidR="4CA1D688" w14:paraId="2DCEC51D" w14:textId="77777777" w:rsidTr="26FB17D3">
        <w:trPr>
          <w:trHeight w:val="300"/>
        </w:trPr>
        <w:tc>
          <w:tcPr>
            <w:tcW w:w="2310" w:type="dxa"/>
            <w:vAlign w:val="center"/>
          </w:tcPr>
          <w:p w14:paraId="311A62C2" w14:textId="3C759A2A" w:rsidR="4CA1D688" w:rsidRDefault="23BD0C5C" w:rsidP="44BB25C2">
            <w:pPr>
              <w:spacing w:after="0"/>
              <w:jc w:val="both"/>
              <w:rPr>
                <w:rFonts w:ascii="Arial" w:eastAsia="Arial" w:hAnsi="Arial" w:cs="Arial"/>
                <w:sz w:val="22"/>
                <w:szCs w:val="22"/>
              </w:rPr>
            </w:pPr>
            <w:r w:rsidRPr="44BB25C2">
              <w:rPr>
                <w:rFonts w:ascii="Arial" w:eastAsia="Arial" w:hAnsi="Arial" w:cs="Arial"/>
                <w:sz w:val="22"/>
                <w:szCs w:val="22"/>
                <w:lang w:val="es-CO"/>
              </w:rPr>
              <w:t>Afianzar la cultura de gestión preventiva del riesgo en la entidad.</w:t>
            </w:r>
          </w:p>
          <w:p w14:paraId="1047A3E1" w14:textId="063FF227" w:rsidR="4CA1D688" w:rsidRDefault="691F737E" w:rsidP="007E3654">
            <w:pPr>
              <w:spacing w:after="0"/>
              <w:jc w:val="both"/>
              <w:rPr>
                <w:rFonts w:ascii="Arial" w:eastAsia="Arial" w:hAnsi="Arial" w:cs="Arial"/>
                <w:sz w:val="22"/>
                <w:szCs w:val="22"/>
              </w:rPr>
            </w:pPr>
            <w:r w:rsidRPr="44BB25C2">
              <w:rPr>
                <w:rFonts w:ascii="Arial" w:eastAsia="Arial" w:hAnsi="Arial" w:cs="Arial"/>
                <w:sz w:val="22"/>
                <w:szCs w:val="22"/>
              </w:rPr>
              <w:t>.</w:t>
            </w:r>
          </w:p>
        </w:tc>
        <w:tc>
          <w:tcPr>
            <w:tcW w:w="990" w:type="dxa"/>
            <w:vAlign w:val="center"/>
          </w:tcPr>
          <w:p w14:paraId="1725AF10" w14:textId="2D5E0C09" w:rsidR="4CA1D688" w:rsidRDefault="691F737E" w:rsidP="007E3654">
            <w:pPr>
              <w:spacing w:after="0"/>
              <w:jc w:val="both"/>
              <w:rPr>
                <w:rFonts w:ascii="Arial" w:eastAsia="Arial" w:hAnsi="Arial" w:cs="Arial"/>
                <w:sz w:val="22"/>
                <w:szCs w:val="22"/>
              </w:rPr>
            </w:pPr>
            <w:r w:rsidRPr="44BB25C2">
              <w:rPr>
                <w:rFonts w:ascii="Arial" w:eastAsia="Arial" w:hAnsi="Arial" w:cs="Arial"/>
                <w:sz w:val="22"/>
                <w:szCs w:val="22"/>
              </w:rPr>
              <w:t>3.</w:t>
            </w:r>
            <w:r w:rsidR="0F491DDD" w:rsidRPr="44BB25C2">
              <w:rPr>
                <w:rFonts w:ascii="Arial" w:eastAsia="Arial" w:hAnsi="Arial" w:cs="Arial"/>
                <w:sz w:val="22"/>
                <w:szCs w:val="22"/>
              </w:rPr>
              <w:t>2</w:t>
            </w:r>
          </w:p>
        </w:tc>
        <w:tc>
          <w:tcPr>
            <w:tcW w:w="2430" w:type="dxa"/>
            <w:vAlign w:val="center"/>
          </w:tcPr>
          <w:p w14:paraId="70F55023" w14:textId="69480E94" w:rsidR="4CA1D688" w:rsidRDefault="63B14ADD"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Promover buenas prácticas de autocontrol y prevención mediante sesiones virtuales con los gestores</w:t>
            </w:r>
          </w:p>
        </w:tc>
        <w:tc>
          <w:tcPr>
            <w:tcW w:w="1785" w:type="dxa"/>
            <w:vAlign w:val="center"/>
          </w:tcPr>
          <w:p w14:paraId="4BF5174D" w14:textId="034F5B29" w:rsidR="4CA1D688" w:rsidRDefault="78E5A480" w:rsidP="44BB25C2">
            <w:pPr>
              <w:spacing w:after="0"/>
              <w:jc w:val="both"/>
              <w:rPr>
                <w:rFonts w:ascii="Arial" w:eastAsia="Arial" w:hAnsi="Arial" w:cs="Arial"/>
                <w:sz w:val="22"/>
                <w:szCs w:val="22"/>
              </w:rPr>
            </w:pPr>
            <w:r w:rsidRPr="26FB17D3">
              <w:rPr>
                <w:rFonts w:ascii="Arial" w:eastAsia="Arial" w:hAnsi="Arial" w:cs="Arial"/>
                <w:color w:val="000000" w:themeColor="text1"/>
                <w:sz w:val="22"/>
                <w:szCs w:val="22"/>
              </w:rPr>
              <w:t xml:space="preserve">Evidencia de sesiones virtuales (Grabación, lista de </w:t>
            </w:r>
            <w:r w:rsidR="48881EFE" w:rsidRPr="26FB17D3">
              <w:rPr>
                <w:rFonts w:ascii="Arial" w:eastAsia="Arial" w:hAnsi="Arial" w:cs="Arial"/>
                <w:color w:val="000000" w:themeColor="text1"/>
                <w:sz w:val="22"/>
                <w:szCs w:val="22"/>
              </w:rPr>
              <w:t>asistencia</w:t>
            </w:r>
            <w:r w:rsidRPr="26FB17D3">
              <w:rPr>
                <w:rFonts w:ascii="Arial" w:eastAsia="Arial" w:hAnsi="Arial" w:cs="Arial"/>
                <w:color w:val="000000" w:themeColor="text1"/>
                <w:sz w:val="22"/>
                <w:szCs w:val="22"/>
              </w:rPr>
              <w:t>, presentación)</w:t>
            </w:r>
          </w:p>
        </w:tc>
        <w:tc>
          <w:tcPr>
            <w:tcW w:w="1652" w:type="dxa"/>
            <w:vAlign w:val="center"/>
          </w:tcPr>
          <w:p w14:paraId="0262CB7D" w14:textId="7F706C48"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4BB25C2" w14:paraId="56054190" w14:textId="77777777" w:rsidTr="26FB17D3">
        <w:trPr>
          <w:trHeight w:val="300"/>
        </w:trPr>
        <w:tc>
          <w:tcPr>
            <w:tcW w:w="2310" w:type="dxa"/>
            <w:vAlign w:val="center"/>
          </w:tcPr>
          <w:p w14:paraId="3D15B505" w14:textId="3EFD0D89" w:rsidR="2CDE6A03" w:rsidRDefault="2CDE6A03" w:rsidP="44BB25C2">
            <w:pPr>
              <w:spacing w:after="0"/>
              <w:jc w:val="both"/>
              <w:rPr>
                <w:rFonts w:ascii="Arial" w:eastAsia="Arial" w:hAnsi="Arial" w:cs="Arial"/>
                <w:sz w:val="22"/>
                <w:szCs w:val="22"/>
                <w:lang w:val="es-CO"/>
              </w:rPr>
            </w:pPr>
            <w:r w:rsidRPr="44BB25C2">
              <w:rPr>
                <w:rFonts w:ascii="Arial" w:eastAsia="Arial" w:hAnsi="Arial" w:cs="Arial"/>
                <w:sz w:val="22"/>
                <w:szCs w:val="22"/>
                <w:lang w:val="es-CO"/>
              </w:rPr>
              <w:t>Capacitar y socializar a los líderes y gestores de proceso sobre la nueva metodología de gestión integral del riesgo.</w:t>
            </w:r>
          </w:p>
          <w:p w14:paraId="087938FF" w14:textId="370E28D0" w:rsidR="44BB25C2" w:rsidRDefault="44BB25C2" w:rsidP="44BB25C2">
            <w:pPr>
              <w:jc w:val="both"/>
              <w:rPr>
                <w:rFonts w:ascii="Arial" w:eastAsia="Arial" w:hAnsi="Arial" w:cs="Arial"/>
                <w:sz w:val="22"/>
                <w:szCs w:val="22"/>
                <w:lang w:val="es-CO"/>
              </w:rPr>
            </w:pPr>
          </w:p>
        </w:tc>
        <w:tc>
          <w:tcPr>
            <w:tcW w:w="990" w:type="dxa"/>
            <w:vAlign w:val="center"/>
          </w:tcPr>
          <w:p w14:paraId="6CCF52D0" w14:textId="20713DC6" w:rsidR="2CDE6A03" w:rsidRDefault="2CDE6A03" w:rsidP="44BB25C2">
            <w:pPr>
              <w:jc w:val="both"/>
              <w:rPr>
                <w:rFonts w:ascii="Arial" w:eastAsia="Arial" w:hAnsi="Arial" w:cs="Arial"/>
                <w:sz w:val="22"/>
                <w:szCs w:val="22"/>
              </w:rPr>
            </w:pPr>
            <w:r w:rsidRPr="44BB25C2">
              <w:rPr>
                <w:rFonts w:ascii="Arial" w:eastAsia="Arial" w:hAnsi="Arial" w:cs="Arial"/>
                <w:sz w:val="22"/>
                <w:szCs w:val="22"/>
              </w:rPr>
              <w:t>4.1</w:t>
            </w:r>
          </w:p>
        </w:tc>
        <w:tc>
          <w:tcPr>
            <w:tcW w:w="2430" w:type="dxa"/>
            <w:vAlign w:val="center"/>
          </w:tcPr>
          <w:p w14:paraId="28A1FD63" w14:textId="724A0DED" w:rsidR="7B34D9BA" w:rsidRDefault="7B34D9BA" w:rsidP="44BB25C2">
            <w:pPr>
              <w:jc w:val="both"/>
            </w:pPr>
            <w:r w:rsidRPr="44BB25C2">
              <w:rPr>
                <w:rFonts w:ascii="Arial" w:eastAsia="Arial" w:hAnsi="Arial" w:cs="Arial"/>
                <w:color w:val="000000" w:themeColor="text1"/>
                <w:sz w:val="22"/>
                <w:szCs w:val="22"/>
              </w:rPr>
              <w:t>Diseñar un ejercicio de sensibilización en gestión integral del riesgo, presenciales y/o virtuales (Socializar cambios metodológicos y nuevos lineamientos a líderes y gestores, identificación y tratamiento de riesgos fiscales, de integridad pública)</w:t>
            </w:r>
          </w:p>
        </w:tc>
        <w:tc>
          <w:tcPr>
            <w:tcW w:w="1785" w:type="dxa"/>
            <w:vAlign w:val="center"/>
          </w:tcPr>
          <w:p w14:paraId="3362F1A6" w14:textId="3B7D7023" w:rsidR="7AF2E424" w:rsidRDefault="7AF2E424" w:rsidP="44BB25C2">
            <w:pPr>
              <w:jc w:val="both"/>
              <w:rPr>
                <w:rFonts w:ascii="Arial" w:eastAsia="Arial" w:hAnsi="Arial" w:cs="Arial"/>
                <w:sz w:val="22"/>
                <w:szCs w:val="22"/>
              </w:rPr>
            </w:pPr>
            <w:r w:rsidRPr="44BB25C2">
              <w:rPr>
                <w:rFonts w:ascii="Arial" w:eastAsia="Arial" w:hAnsi="Arial" w:cs="Arial"/>
                <w:color w:val="000000" w:themeColor="text1"/>
                <w:sz w:val="22"/>
                <w:szCs w:val="22"/>
              </w:rPr>
              <w:t>Grabación, presentación, listas de asistencia de Sensibilización a líderes y gestores de proceso</w:t>
            </w:r>
          </w:p>
        </w:tc>
        <w:tc>
          <w:tcPr>
            <w:tcW w:w="1652" w:type="dxa"/>
            <w:vAlign w:val="center"/>
          </w:tcPr>
          <w:p w14:paraId="26D27DAA" w14:textId="40B7BF03" w:rsidR="1AB6B28D" w:rsidRDefault="1AB6B28D" w:rsidP="44BB25C2">
            <w:pPr>
              <w:spacing w:after="0"/>
              <w:jc w:val="both"/>
              <w:rPr>
                <w:rFonts w:ascii="Arial" w:eastAsia="Arial" w:hAnsi="Arial" w:cs="Arial"/>
                <w:sz w:val="22"/>
                <w:szCs w:val="22"/>
              </w:rPr>
            </w:pPr>
            <w:r w:rsidRPr="44BB25C2">
              <w:rPr>
                <w:rFonts w:ascii="Arial" w:eastAsia="Arial" w:hAnsi="Arial" w:cs="Arial"/>
                <w:sz w:val="22"/>
                <w:szCs w:val="22"/>
              </w:rPr>
              <w:t>Dependencia de Planeación</w:t>
            </w:r>
          </w:p>
          <w:p w14:paraId="4A672EC5" w14:textId="2C4D664C" w:rsidR="44BB25C2" w:rsidRDefault="44BB25C2" w:rsidP="44BB25C2">
            <w:pPr>
              <w:jc w:val="both"/>
              <w:rPr>
                <w:rFonts w:ascii="Arial" w:eastAsia="Arial" w:hAnsi="Arial" w:cs="Arial"/>
                <w:sz w:val="22"/>
                <w:szCs w:val="22"/>
              </w:rPr>
            </w:pPr>
          </w:p>
        </w:tc>
      </w:tr>
      <w:tr w:rsidR="44BB25C2" w14:paraId="266A2321" w14:textId="77777777" w:rsidTr="26FB17D3">
        <w:trPr>
          <w:trHeight w:val="300"/>
        </w:trPr>
        <w:tc>
          <w:tcPr>
            <w:tcW w:w="2310" w:type="dxa"/>
            <w:vAlign w:val="center"/>
          </w:tcPr>
          <w:p w14:paraId="4DC1A1E6" w14:textId="3EFD0D89" w:rsidR="2CDE6A03" w:rsidRDefault="2CDE6A03" w:rsidP="44BB25C2">
            <w:pPr>
              <w:spacing w:after="0"/>
              <w:jc w:val="both"/>
              <w:rPr>
                <w:rFonts w:ascii="Arial" w:eastAsia="Arial" w:hAnsi="Arial" w:cs="Arial"/>
                <w:sz w:val="22"/>
                <w:szCs w:val="22"/>
                <w:lang w:val="es-CO"/>
              </w:rPr>
            </w:pPr>
            <w:r w:rsidRPr="44BB25C2">
              <w:rPr>
                <w:rFonts w:ascii="Arial" w:eastAsia="Arial" w:hAnsi="Arial" w:cs="Arial"/>
                <w:sz w:val="22"/>
                <w:szCs w:val="22"/>
                <w:lang w:val="es-CO"/>
              </w:rPr>
              <w:t>Capacitar y socializar a los líderes y gestores de proceso sobre la nueva metodología de gestión integral del riesgo.</w:t>
            </w:r>
          </w:p>
          <w:p w14:paraId="56469B69" w14:textId="0B183A1F" w:rsidR="44BB25C2" w:rsidRDefault="44BB25C2" w:rsidP="44BB25C2">
            <w:pPr>
              <w:jc w:val="both"/>
              <w:rPr>
                <w:rFonts w:ascii="Arial" w:eastAsia="Arial" w:hAnsi="Arial" w:cs="Arial"/>
                <w:sz w:val="22"/>
                <w:szCs w:val="22"/>
                <w:lang w:val="es-CO"/>
              </w:rPr>
            </w:pPr>
          </w:p>
        </w:tc>
        <w:tc>
          <w:tcPr>
            <w:tcW w:w="990" w:type="dxa"/>
            <w:vAlign w:val="center"/>
          </w:tcPr>
          <w:p w14:paraId="259722C6" w14:textId="7586B891" w:rsidR="2CDE6A03" w:rsidRDefault="2CDE6A03" w:rsidP="44BB25C2">
            <w:pPr>
              <w:jc w:val="both"/>
              <w:rPr>
                <w:rFonts w:ascii="Arial" w:eastAsia="Arial" w:hAnsi="Arial" w:cs="Arial"/>
                <w:sz w:val="22"/>
                <w:szCs w:val="22"/>
              </w:rPr>
            </w:pPr>
            <w:r w:rsidRPr="44BB25C2">
              <w:rPr>
                <w:rFonts w:ascii="Arial" w:eastAsia="Arial" w:hAnsi="Arial" w:cs="Arial"/>
                <w:sz w:val="22"/>
                <w:szCs w:val="22"/>
              </w:rPr>
              <w:t>4.2</w:t>
            </w:r>
          </w:p>
        </w:tc>
        <w:tc>
          <w:tcPr>
            <w:tcW w:w="2430" w:type="dxa"/>
            <w:vAlign w:val="center"/>
          </w:tcPr>
          <w:p w14:paraId="57B430C4" w14:textId="4834CF9F" w:rsidR="19C29401" w:rsidRDefault="19C29401" w:rsidP="44BB25C2">
            <w:pPr>
              <w:jc w:val="both"/>
              <w:rPr>
                <w:rFonts w:ascii="Arial" w:eastAsia="Arial" w:hAnsi="Arial" w:cs="Arial"/>
                <w:sz w:val="22"/>
                <w:szCs w:val="22"/>
              </w:rPr>
            </w:pPr>
            <w:r w:rsidRPr="44BB25C2">
              <w:rPr>
                <w:rFonts w:ascii="Arial" w:eastAsia="Arial" w:hAnsi="Arial" w:cs="Arial"/>
                <w:color w:val="000000" w:themeColor="text1"/>
                <w:sz w:val="22"/>
                <w:szCs w:val="22"/>
              </w:rPr>
              <w:t>Evaluar apropiación y comprensión de la metodología</w:t>
            </w:r>
          </w:p>
        </w:tc>
        <w:tc>
          <w:tcPr>
            <w:tcW w:w="1785" w:type="dxa"/>
            <w:vAlign w:val="center"/>
          </w:tcPr>
          <w:p w14:paraId="0CBE59E6" w14:textId="5DEF9491" w:rsidR="22545184" w:rsidRDefault="22545184" w:rsidP="44BB25C2">
            <w:pPr>
              <w:jc w:val="both"/>
              <w:rPr>
                <w:rFonts w:ascii="Arial" w:eastAsia="Arial" w:hAnsi="Arial" w:cs="Arial"/>
                <w:sz w:val="22"/>
                <w:szCs w:val="22"/>
              </w:rPr>
            </w:pPr>
            <w:r w:rsidRPr="44BB25C2">
              <w:rPr>
                <w:rFonts w:ascii="Arial" w:eastAsia="Arial" w:hAnsi="Arial" w:cs="Arial"/>
                <w:color w:val="000000" w:themeColor="text1"/>
                <w:sz w:val="22"/>
                <w:szCs w:val="22"/>
              </w:rPr>
              <w:t>Resultados de evaluación</w:t>
            </w:r>
          </w:p>
        </w:tc>
        <w:tc>
          <w:tcPr>
            <w:tcW w:w="1652" w:type="dxa"/>
            <w:vAlign w:val="center"/>
          </w:tcPr>
          <w:p w14:paraId="57A81AAF" w14:textId="40B7BF03" w:rsidR="0D5503AD" w:rsidRDefault="0D5503AD" w:rsidP="44BB25C2">
            <w:pPr>
              <w:spacing w:after="0"/>
              <w:jc w:val="both"/>
              <w:rPr>
                <w:rFonts w:ascii="Arial" w:eastAsia="Arial" w:hAnsi="Arial" w:cs="Arial"/>
                <w:sz w:val="22"/>
                <w:szCs w:val="22"/>
              </w:rPr>
            </w:pPr>
            <w:r w:rsidRPr="44BB25C2">
              <w:rPr>
                <w:rFonts w:ascii="Arial" w:eastAsia="Arial" w:hAnsi="Arial" w:cs="Arial"/>
                <w:sz w:val="22"/>
                <w:szCs w:val="22"/>
              </w:rPr>
              <w:t>Dependencia de Planeación</w:t>
            </w:r>
          </w:p>
          <w:p w14:paraId="7090F01B" w14:textId="682E27B7" w:rsidR="44BB25C2" w:rsidRDefault="44BB25C2" w:rsidP="44BB25C2">
            <w:pPr>
              <w:jc w:val="both"/>
              <w:rPr>
                <w:rFonts w:ascii="Arial" w:eastAsia="Arial" w:hAnsi="Arial" w:cs="Arial"/>
                <w:sz w:val="22"/>
                <w:szCs w:val="22"/>
              </w:rPr>
            </w:pPr>
          </w:p>
        </w:tc>
      </w:tr>
      <w:tr w:rsidR="4CA1D688" w14:paraId="49698214" w14:textId="77777777" w:rsidTr="26FB17D3">
        <w:trPr>
          <w:trHeight w:val="300"/>
        </w:trPr>
        <w:tc>
          <w:tcPr>
            <w:tcW w:w="2310" w:type="dxa"/>
            <w:vAlign w:val="center"/>
          </w:tcPr>
          <w:p w14:paraId="75E38FA7" w14:textId="3CCD794B" w:rsidR="4CA1D688" w:rsidRDefault="12EF9820" w:rsidP="44BB25C2">
            <w:pPr>
              <w:spacing w:after="0"/>
              <w:jc w:val="both"/>
              <w:rPr>
                <w:rFonts w:ascii="Arial" w:eastAsia="Arial" w:hAnsi="Arial" w:cs="Arial"/>
                <w:sz w:val="22"/>
                <w:szCs w:val="22"/>
              </w:rPr>
            </w:pPr>
            <w:r w:rsidRPr="44BB25C2">
              <w:rPr>
                <w:rFonts w:ascii="Arial" w:eastAsia="Arial" w:hAnsi="Arial" w:cs="Arial"/>
                <w:sz w:val="22"/>
                <w:szCs w:val="22"/>
                <w:lang w:val="es-CO"/>
              </w:rPr>
              <w:lastRenderedPageBreak/>
              <w:t>Actualizar la política de gestión del riesgo de la entidad, integrando política antisoborno y antifraude.</w:t>
            </w:r>
          </w:p>
          <w:p w14:paraId="65D4C966" w14:textId="1C66ABCB" w:rsidR="4CA1D688" w:rsidRDefault="4CA1D688" w:rsidP="007E3654">
            <w:pPr>
              <w:spacing w:after="0"/>
              <w:jc w:val="both"/>
              <w:rPr>
                <w:rFonts w:ascii="Arial" w:eastAsia="Arial" w:hAnsi="Arial" w:cs="Arial"/>
                <w:sz w:val="22"/>
                <w:szCs w:val="22"/>
              </w:rPr>
            </w:pPr>
          </w:p>
        </w:tc>
        <w:tc>
          <w:tcPr>
            <w:tcW w:w="990" w:type="dxa"/>
            <w:vAlign w:val="center"/>
          </w:tcPr>
          <w:p w14:paraId="7C827F07" w14:textId="48AAF7C5" w:rsidR="4CA1D688" w:rsidRDefault="22EB648C" w:rsidP="007E3654">
            <w:pPr>
              <w:spacing w:after="0"/>
              <w:jc w:val="both"/>
              <w:rPr>
                <w:rFonts w:ascii="Arial" w:eastAsia="Arial" w:hAnsi="Arial" w:cs="Arial"/>
                <w:sz w:val="22"/>
                <w:szCs w:val="22"/>
              </w:rPr>
            </w:pPr>
            <w:r w:rsidRPr="44BB25C2">
              <w:rPr>
                <w:rFonts w:ascii="Arial" w:eastAsia="Arial" w:hAnsi="Arial" w:cs="Arial"/>
                <w:sz w:val="22"/>
                <w:szCs w:val="22"/>
              </w:rPr>
              <w:t>5</w:t>
            </w:r>
            <w:r w:rsidR="691F737E" w:rsidRPr="44BB25C2">
              <w:rPr>
                <w:rFonts w:ascii="Arial" w:eastAsia="Arial" w:hAnsi="Arial" w:cs="Arial"/>
                <w:sz w:val="22"/>
                <w:szCs w:val="22"/>
              </w:rPr>
              <w:t>.1</w:t>
            </w:r>
          </w:p>
        </w:tc>
        <w:tc>
          <w:tcPr>
            <w:tcW w:w="2430" w:type="dxa"/>
            <w:vAlign w:val="center"/>
          </w:tcPr>
          <w:p w14:paraId="4E8457BA" w14:textId="10CC5FE5" w:rsidR="4CA1D688" w:rsidRDefault="01E9AE6A"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Revisar y ajustar la política actual de gestión del riesgo (Incorporar lineamientos de prevención del soborno y fraude, Integrar enfoque de integridad pública y transparencia institucional)</w:t>
            </w:r>
          </w:p>
        </w:tc>
        <w:tc>
          <w:tcPr>
            <w:tcW w:w="1785" w:type="dxa"/>
            <w:vAlign w:val="center"/>
          </w:tcPr>
          <w:p w14:paraId="6227CC1A" w14:textId="28CAAAAB" w:rsidR="4CA1D688" w:rsidRDefault="19C18EE7"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Política de riesgos</w:t>
            </w:r>
          </w:p>
        </w:tc>
        <w:tc>
          <w:tcPr>
            <w:tcW w:w="1652" w:type="dxa"/>
            <w:vAlign w:val="center"/>
          </w:tcPr>
          <w:p w14:paraId="2F032303" w14:textId="5BDE9263"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189672A7" w14:textId="77777777" w:rsidTr="26FB17D3">
        <w:trPr>
          <w:trHeight w:val="300"/>
        </w:trPr>
        <w:tc>
          <w:tcPr>
            <w:tcW w:w="2310" w:type="dxa"/>
            <w:vAlign w:val="center"/>
          </w:tcPr>
          <w:p w14:paraId="7F8A6CB1" w14:textId="3CCD794B" w:rsidR="4CA1D688" w:rsidRDefault="1C4A456E" w:rsidP="44BB25C2">
            <w:pPr>
              <w:spacing w:after="0"/>
              <w:jc w:val="both"/>
              <w:rPr>
                <w:rFonts w:ascii="Arial" w:eastAsia="Arial" w:hAnsi="Arial" w:cs="Arial"/>
                <w:sz w:val="22"/>
                <w:szCs w:val="22"/>
              </w:rPr>
            </w:pPr>
            <w:r w:rsidRPr="44BB25C2">
              <w:rPr>
                <w:rFonts w:ascii="Arial" w:eastAsia="Arial" w:hAnsi="Arial" w:cs="Arial"/>
                <w:sz w:val="22"/>
                <w:szCs w:val="22"/>
                <w:lang w:val="es-CO"/>
              </w:rPr>
              <w:t>Actualizar la política de gestión del riesgo de la entidad, integrando política antisoborno y antifraude.</w:t>
            </w:r>
          </w:p>
          <w:p w14:paraId="64C3D381" w14:textId="347AB8B3" w:rsidR="4CA1D688" w:rsidRDefault="4CA1D688" w:rsidP="007E3654">
            <w:pPr>
              <w:spacing w:after="0"/>
              <w:jc w:val="both"/>
              <w:rPr>
                <w:rFonts w:ascii="Arial" w:eastAsia="Arial" w:hAnsi="Arial" w:cs="Arial"/>
                <w:sz w:val="22"/>
                <w:szCs w:val="22"/>
              </w:rPr>
            </w:pPr>
          </w:p>
        </w:tc>
        <w:tc>
          <w:tcPr>
            <w:tcW w:w="990" w:type="dxa"/>
            <w:vAlign w:val="center"/>
          </w:tcPr>
          <w:p w14:paraId="2B7788DB" w14:textId="4DABCBC7" w:rsidR="4CA1D688" w:rsidRDefault="6A27FB99" w:rsidP="007E3654">
            <w:pPr>
              <w:spacing w:after="0"/>
              <w:jc w:val="both"/>
              <w:rPr>
                <w:rFonts w:ascii="Arial" w:eastAsia="Arial" w:hAnsi="Arial" w:cs="Arial"/>
                <w:sz w:val="22"/>
                <w:szCs w:val="22"/>
              </w:rPr>
            </w:pPr>
            <w:r w:rsidRPr="44BB25C2">
              <w:rPr>
                <w:rFonts w:ascii="Arial" w:eastAsia="Arial" w:hAnsi="Arial" w:cs="Arial"/>
                <w:sz w:val="22"/>
                <w:szCs w:val="22"/>
              </w:rPr>
              <w:t>5</w:t>
            </w:r>
            <w:r w:rsidR="691F737E" w:rsidRPr="44BB25C2">
              <w:rPr>
                <w:rFonts w:ascii="Arial" w:eastAsia="Arial" w:hAnsi="Arial" w:cs="Arial"/>
                <w:sz w:val="22"/>
                <w:szCs w:val="22"/>
              </w:rPr>
              <w:t>.2</w:t>
            </w:r>
          </w:p>
        </w:tc>
        <w:tc>
          <w:tcPr>
            <w:tcW w:w="2430" w:type="dxa"/>
            <w:vAlign w:val="center"/>
          </w:tcPr>
          <w:p w14:paraId="3430CA78" w14:textId="7EF13E23" w:rsidR="4CA1D688" w:rsidRDefault="51EB6DA8"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Validar y aprobar la política con las áreas responsables y la alta dirección</w:t>
            </w:r>
          </w:p>
        </w:tc>
        <w:tc>
          <w:tcPr>
            <w:tcW w:w="1785" w:type="dxa"/>
            <w:vAlign w:val="center"/>
          </w:tcPr>
          <w:p w14:paraId="38A3062B" w14:textId="678728DF" w:rsidR="4CA1D688" w:rsidRDefault="02A40735"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Acta de aprobación y/o correo electrónico</w:t>
            </w:r>
          </w:p>
        </w:tc>
        <w:tc>
          <w:tcPr>
            <w:tcW w:w="1652" w:type="dxa"/>
            <w:vAlign w:val="center"/>
          </w:tcPr>
          <w:p w14:paraId="40464755" w14:textId="6F491ED2" w:rsidR="4CA1D688" w:rsidRDefault="040DA190" w:rsidP="44BB25C2">
            <w:pPr>
              <w:spacing w:after="0"/>
              <w:jc w:val="both"/>
              <w:rPr>
                <w:rFonts w:ascii="Arial" w:eastAsia="Arial" w:hAnsi="Arial" w:cs="Arial"/>
                <w:sz w:val="22"/>
                <w:szCs w:val="22"/>
              </w:rPr>
            </w:pPr>
            <w:r w:rsidRPr="44BB25C2">
              <w:rPr>
                <w:rFonts w:ascii="Arial" w:eastAsia="Arial" w:hAnsi="Arial" w:cs="Arial"/>
                <w:sz w:val="22"/>
                <w:szCs w:val="22"/>
              </w:rPr>
              <w:t>Dependencia de Planeación y alta dirección</w:t>
            </w:r>
          </w:p>
        </w:tc>
      </w:tr>
      <w:tr w:rsidR="4CA1D688" w14:paraId="3B484690" w14:textId="77777777" w:rsidTr="26FB17D3">
        <w:trPr>
          <w:trHeight w:val="300"/>
        </w:trPr>
        <w:tc>
          <w:tcPr>
            <w:tcW w:w="2310" w:type="dxa"/>
            <w:vAlign w:val="center"/>
          </w:tcPr>
          <w:p w14:paraId="1228D41D" w14:textId="3CCD794B" w:rsidR="4CA1D688" w:rsidRDefault="7E188915" w:rsidP="44BB25C2">
            <w:pPr>
              <w:spacing w:after="0"/>
              <w:jc w:val="both"/>
              <w:rPr>
                <w:rFonts w:ascii="Arial" w:eastAsia="Arial" w:hAnsi="Arial" w:cs="Arial"/>
                <w:sz w:val="22"/>
                <w:szCs w:val="22"/>
              </w:rPr>
            </w:pPr>
            <w:r w:rsidRPr="44BB25C2">
              <w:rPr>
                <w:rFonts w:ascii="Arial" w:eastAsia="Arial" w:hAnsi="Arial" w:cs="Arial"/>
                <w:sz w:val="22"/>
                <w:szCs w:val="22"/>
                <w:lang w:val="es-CO"/>
              </w:rPr>
              <w:t>Actualizar la política de gestión del riesgo de la entidad, integrando política antisoborno y antifraude.</w:t>
            </w:r>
          </w:p>
          <w:p w14:paraId="6C3185B6" w14:textId="30A65A8E" w:rsidR="4CA1D688" w:rsidRDefault="4CA1D688" w:rsidP="007E3654">
            <w:pPr>
              <w:spacing w:after="0"/>
              <w:jc w:val="both"/>
              <w:rPr>
                <w:rFonts w:ascii="Arial" w:eastAsia="Arial" w:hAnsi="Arial" w:cs="Arial"/>
                <w:sz w:val="22"/>
                <w:szCs w:val="22"/>
              </w:rPr>
            </w:pPr>
          </w:p>
        </w:tc>
        <w:tc>
          <w:tcPr>
            <w:tcW w:w="990" w:type="dxa"/>
            <w:vAlign w:val="center"/>
          </w:tcPr>
          <w:p w14:paraId="7EB64AE9" w14:textId="6EDD8E3B" w:rsidR="4CA1D688" w:rsidRDefault="67E61238" w:rsidP="007E3654">
            <w:pPr>
              <w:spacing w:after="0"/>
              <w:jc w:val="both"/>
              <w:rPr>
                <w:rFonts w:ascii="Arial" w:eastAsia="Arial" w:hAnsi="Arial" w:cs="Arial"/>
                <w:sz w:val="22"/>
                <w:szCs w:val="22"/>
              </w:rPr>
            </w:pPr>
            <w:r w:rsidRPr="44BB25C2">
              <w:rPr>
                <w:rFonts w:ascii="Arial" w:eastAsia="Arial" w:hAnsi="Arial" w:cs="Arial"/>
                <w:sz w:val="22"/>
                <w:szCs w:val="22"/>
              </w:rPr>
              <w:t>5</w:t>
            </w:r>
            <w:r w:rsidR="691F737E" w:rsidRPr="44BB25C2">
              <w:rPr>
                <w:rFonts w:ascii="Arial" w:eastAsia="Arial" w:hAnsi="Arial" w:cs="Arial"/>
                <w:sz w:val="22"/>
                <w:szCs w:val="22"/>
              </w:rPr>
              <w:t>.3</w:t>
            </w:r>
          </w:p>
        </w:tc>
        <w:tc>
          <w:tcPr>
            <w:tcW w:w="2430" w:type="dxa"/>
            <w:vAlign w:val="center"/>
          </w:tcPr>
          <w:p w14:paraId="5CA870A5" w14:textId="3505D973" w:rsidR="4CA1D688" w:rsidRDefault="09543407"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Aprobar y publicar la política institucional actualizada</w:t>
            </w:r>
          </w:p>
        </w:tc>
        <w:tc>
          <w:tcPr>
            <w:tcW w:w="1785" w:type="dxa"/>
            <w:vAlign w:val="center"/>
          </w:tcPr>
          <w:p w14:paraId="6E6886BD" w14:textId="2DC6E10F" w:rsidR="4CA1D688" w:rsidRDefault="4DAA32DF"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Acta de Comité CIGD y CICI</w:t>
            </w:r>
          </w:p>
        </w:tc>
        <w:tc>
          <w:tcPr>
            <w:tcW w:w="1652" w:type="dxa"/>
            <w:vAlign w:val="center"/>
          </w:tcPr>
          <w:p w14:paraId="6C761A63" w14:textId="181CDF63"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46511888" w14:textId="77777777" w:rsidTr="26FB17D3">
        <w:trPr>
          <w:trHeight w:val="300"/>
        </w:trPr>
        <w:tc>
          <w:tcPr>
            <w:tcW w:w="2310" w:type="dxa"/>
            <w:vAlign w:val="center"/>
          </w:tcPr>
          <w:p w14:paraId="09AF8059" w14:textId="3CCD794B" w:rsidR="4CA1D688" w:rsidRDefault="3B380504" w:rsidP="44BB25C2">
            <w:pPr>
              <w:spacing w:after="0"/>
              <w:jc w:val="both"/>
              <w:rPr>
                <w:rFonts w:ascii="Arial" w:eastAsia="Arial" w:hAnsi="Arial" w:cs="Arial"/>
                <w:sz w:val="22"/>
                <w:szCs w:val="22"/>
              </w:rPr>
            </w:pPr>
            <w:r w:rsidRPr="44BB25C2">
              <w:rPr>
                <w:rFonts w:ascii="Arial" w:eastAsia="Arial" w:hAnsi="Arial" w:cs="Arial"/>
                <w:sz w:val="22"/>
                <w:szCs w:val="22"/>
                <w:lang w:val="es-CO"/>
              </w:rPr>
              <w:t>Actualizar la política de gestión del riesgo de la entidad, integrando política antisoborno y antifraude.</w:t>
            </w:r>
          </w:p>
          <w:p w14:paraId="4D1D005B" w14:textId="5195DE1E" w:rsidR="4CA1D688" w:rsidRDefault="4CA1D688" w:rsidP="007E3654">
            <w:pPr>
              <w:spacing w:after="0"/>
              <w:jc w:val="both"/>
              <w:rPr>
                <w:rFonts w:ascii="Arial" w:eastAsia="Arial" w:hAnsi="Arial" w:cs="Arial"/>
                <w:sz w:val="22"/>
                <w:szCs w:val="22"/>
              </w:rPr>
            </w:pPr>
          </w:p>
        </w:tc>
        <w:tc>
          <w:tcPr>
            <w:tcW w:w="990" w:type="dxa"/>
            <w:vAlign w:val="center"/>
          </w:tcPr>
          <w:p w14:paraId="05A94AA9" w14:textId="479595EC" w:rsidR="4CA1D688" w:rsidRDefault="7C1E1182" w:rsidP="007E3654">
            <w:pPr>
              <w:spacing w:after="0"/>
              <w:jc w:val="both"/>
              <w:rPr>
                <w:rFonts w:ascii="Arial" w:eastAsia="Arial" w:hAnsi="Arial" w:cs="Arial"/>
                <w:sz w:val="22"/>
                <w:szCs w:val="22"/>
              </w:rPr>
            </w:pPr>
            <w:r w:rsidRPr="44BB25C2">
              <w:rPr>
                <w:rFonts w:ascii="Arial" w:eastAsia="Arial" w:hAnsi="Arial" w:cs="Arial"/>
                <w:sz w:val="22"/>
                <w:szCs w:val="22"/>
              </w:rPr>
              <w:t>5</w:t>
            </w:r>
            <w:r w:rsidR="691F737E" w:rsidRPr="44BB25C2">
              <w:rPr>
                <w:rFonts w:ascii="Arial" w:eastAsia="Arial" w:hAnsi="Arial" w:cs="Arial"/>
                <w:sz w:val="22"/>
                <w:szCs w:val="22"/>
              </w:rPr>
              <w:t>.</w:t>
            </w:r>
            <w:r w:rsidR="3638C82D" w:rsidRPr="44BB25C2">
              <w:rPr>
                <w:rFonts w:ascii="Arial" w:eastAsia="Arial" w:hAnsi="Arial" w:cs="Arial"/>
                <w:sz w:val="22"/>
                <w:szCs w:val="22"/>
              </w:rPr>
              <w:t>4</w:t>
            </w:r>
          </w:p>
        </w:tc>
        <w:tc>
          <w:tcPr>
            <w:tcW w:w="2430" w:type="dxa"/>
            <w:vAlign w:val="center"/>
          </w:tcPr>
          <w:p w14:paraId="7418078D" w14:textId="323E8B55" w:rsidR="4CA1D688" w:rsidRDefault="71819A84"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Publicar y socializar la política institucional actualizada</w:t>
            </w:r>
          </w:p>
        </w:tc>
        <w:tc>
          <w:tcPr>
            <w:tcW w:w="1785" w:type="dxa"/>
            <w:vAlign w:val="center"/>
          </w:tcPr>
          <w:p w14:paraId="71C73C0E" w14:textId="3DC59E99" w:rsidR="4CA1D688" w:rsidRDefault="45A4AAEF" w:rsidP="44BB25C2">
            <w:pPr>
              <w:shd w:val="clear" w:color="auto" w:fill="FFFFFF" w:themeFill="background1"/>
              <w:spacing w:after="0"/>
              <w:jc w:val="both"/>
            </w:pPr>
            <w:r w:rsidRPr="44BB25C2">
              <w:rPr>
                <w:rFonts w:ascii="Arial" w:eastAsia="Arial" w:hAnsi="Arial" w:cs="Arial"/>
                <w:color w:val="000000" w:themeColor="text1"/>
                <w:sz w:val="22"/>
                <w:szCs w:val="22"/>
              </w:rPr>
              <w:t>Política de riesgos en Isolucion y Página web</w:t>
            </w:r>
          </w:p>
          <w:p w14:paraId="1E3395BF" w14:textId="49C4917C" w:rsidR="4CA1D688" w:rsidRDefault="45A4AAEF" w:rsidP="44BB25C2">
            <w:pPr>
              <w:shd w:val="clear" w:color="auto" w:fill="FFFFFF" w:themeFill="background1"/>
              <w:spacing w:after="0"/>
              <w:jc w:val="both"/>
            </w:pPr>
            <w:r w:rsidRPr="44BB25C2">
              <w:rPr>
                <w:rFonts w:ascii="Arial" w:eastAsia="Arial" w:hAnsi="Arial" w:cs="Arial"/>
                <w:color w:val="000000" w:themeColor="text1"/>
                <w:sz w:val="22"/>
                <w:szCs w:val="22"/>
              </w:rPr>
              <w:t>Piezas Comunicacionales y/o correo electrónico</w:t>
            </w:r>
          </w:p>
          <w:p w14:paraId="0F4CC8AB" w14:textId="4C32200F" w:rsidR="4CA1D688" w:rsidRDefault="4CA1D688" w:rsidP="007E3654">
            <w:pPr>
              <w:spacing w:after="0"/>
              <w:jc w:val="both"/>
              <w:rPr>
                <w:rFonts w:ascii="Arial" w:eastAsia="Arial" w:hAnsi="Arial" w:cs="Arial"/>
                <w:sz w:val="22"/>
                <w:szCs w:val="22"/>
              </w:rPr>
            </w:pPr>
          </w:p>
        </w:tc>
        <w:tc>
          <w:tcPr>
            <w:tcW w:w="1652" w:type="dxa"/>
            <w:vAlign w:val="center"/>
          </w:tcPr>
          <w:p w14:paraId="45658811" w14:textId="5457A417"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6C276951" w14:textId="77777777" w:rsidTr="26FB17D3">
        <w:trPr>
          <w:trHeight w:val="300"/>
        </w:trPr>
        <w:tc>
          <w:tcPr>
            <w:tcW w:w="2310" w:type="dxa"/>
            <w:vAlign w:val="center"/>
          </w:tcPr>
          <w:p w14:paraId="46AC347C" w14:textId="2A6A968F" w:rsidR="4CA1D688" w:rsidRDefault="1A8F261F" w:rsidP="44BB25C2">
            <w:pPr>
              <w:spacing w:after="0"/>
              <w:jc w:val="both"/>
              <w:rPr>
                <w:rFonts w:ascii="Arial" w:eastAsia="Arial" w:hAnsi="Arial" w:cs="Arial"/>
                <w:sz w:val="22"/>
                <w:szCs w:val="22"/>
              </w:rPr>
            </w:pPr>
            <w:r w:rsidRPr="44BB25C2">
              <w:rPr>
                <w:rFonts w:ascii="Arial" w:eastAsia="Arial" w:hAnsi="Arial" w:cs="Arial"/>
                <w:sz w:val="22"/>
                <w:szCs w:val="22"/>
                <w:lang w:val="es-CO"/>
              </w:rPr>
              <w:t>Fortalecer la documentación asociada al proceso de administración del riesgo.</w:t>
            </w:r>
          </w:p>
          <w:p w14:paraId="0561E0AD" w14:textId="0123C753" w:rsidR="4CA1D688" w:rsidRDefault="691F737E" w:rsidP="007E3654">
            <w:pPr>
              <w:spacing w:after="0"/>
              <w:jc w:val="both"/>
              <w:rPr>
                <w:rFonts w:ascii="Arial" w:eastAsia="Arial" w:hAnsi="Arial" w:cs="Arial"/>
                <w:sz w:val="22"/>
                <w:szCs w:val="22"/>
              </w:rPr>
            </w:pPr>
            <w:r w:rsidRPr="44BB25C2">
              <w:rPr>
                <w:rFonts w:ascii="Arial" w:eastAsia="Arial" w:hAnsi="Arial" w:cs="Arial"/>
                <w:sz w:val="22"/>
                <w:szCs w:val="22"/>
              </w:rPr>
              <w:t>.</w:t>
            </w:r>
          </w:p>
        </w:tc>
        <w:tc>
          <w:tcPr>
            <w:tcW w:w="990" w:type="dxa"/>
            <w:vAlign w:val="center"/>
          </w:tcPr>
          <w:p w14:paraId="0DE39C7E" w14:textId="4B96F39B" w:rsidR="20D427E1" w:rsidRDefault="20D427E1" w:rsidP="007E3654">
            <w:pPr>
              <w:spacing w:after="0"/>
              <w:jc w:val="both"/>
              <w:rPr>
                <w:rFonts w:ascii="Arial" w:eastAsia="Arial" w:hAnsi="Arial" w:cs="Arial"/>
                <w:sz w:val="22"/>
                <w:szCs w:val="22"/>
              </w:rPr>
            </w:pPr>
            <w:r w:rsidRPr="4CA1D688">
              <w:rPr>
                <w:rFonts w:ascii="Arial" w:eastAsia="Arial" w:hAnsi="Arial" w:cs="Arial"/>
                <w:sz w:val="22"/>
                <w:szCs w:val="22"/>
              </w:rPr>
              <w:t>6</w:t>
            </w:r>
            <w:r w:rsidR="4CA1D688" w:rsidRPr="4CA1D688">
              <w:rPr>
                <w:rFonts w:ascii="Arial" w:eastAsia="Arial" w:hAnsi="Arial" w:cs="Arial"/>
                <w:sz w:val="22"/>
                <w:szCs w:val="22"/>
              </w:rPr>
              <w:t>.1</w:t>
            </w:r>
          </w:p>
        </w:tc>
        <w:tc>
          <w:tcPr>
            <w:tcW w:w="2430" w:type="dxa"/>
            <w:vAlign w:val="center"/>
          </w:tcPr>
          <w:p w14:paraId="2A8516B4" w14:textId="648EA067" w:rsidR="4CA1D688" w:rsidRDefault="358B4AC6"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Revisar y actualizar el formato de matriz de riesgos</w:t>
            </w:r>
          </w:p>
        </w:tc>
        <w:tc>
          <w:tcPr>
            <w:tcW w:w="1785" w:type="dxa"/>
            <w:vAlign w:val="center"/>
          </w:tcPr>
          <w:p w14:paraId="651E8E49" w14:textId="0420FCF0" w:rsidR="4CA1D688" w:rsidRDefault="29AD13C7"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Formato de matriz actualizado</w:t>
            </w:r>
          </w:p>
        </w:tc>
        <w:tc>
          <w:tcPr>
            <w:tcW w:w="1652" w:type="dxa"/>
            <w:vAlign w:val="center"/>
          </w:tcPr>
          <w:p w14:paraId="7030522B" w14:textId="1BCBA78A"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494866CE" w14:textId="77777777" w:rsidTr="26FB17D3">
        <w:trPr>
          <w:trHeight w:val="300"/>
        </w:trPr>
        <w:tc>
          <w:tcPr>
            <w:tcW w:w="2310" w:type="dxa"/>
            <w:vAlign w:val="center"/>
          </w:tcPr>
          <w:p w14:paraId="2895AA0C" w14:textId="2A6A968F" w:rsidR="4CA1D688" w:rsidRDefault="2BECA928" w:rsidP="44BB25C2">
            <w:pPr>
              <w:spacing w:after="0"/>
              <w:jc w:val="both"/>
              <w:rPr>
                <w:rFonts w:ascii="Arial" w:eastAsia="Arial" w:hAnsi="Arial" w:cs="Arial"/>
                <w:sz w:val="22"/>
                <w:szCs w:val="22"/>
              </w:rPr>
            </w:pPr>
            <w:r w:rsidRPr="44BB25C2">
              <w:rPr>
                <w:rFonts w:ascii="Arial" w:eastAsia="Arial" w:hAnsi="Arial" w:cs="Arial"/>
                <w:sz w:val="22"/>
                <w:szCs w:val="22"/>
                <w:lang w:val="es-CO"/>
              </w:rPr>
              <w:t>Fortalecer la documentación asociada al proceso de administración del riesgo.</w:t>
            </w:r>
          </w:p>
          <w:p w14:paraId="34533A4D" w14:textId="303C2B7F" w:rsidR="4CA1D688" w:rsidRDefault="691F737E" w:rsidP="007E3654">
            <w:pPr>
              <w:spacing w:after="0"/>
              <w:jc w:val="both"/>
              <w:rPr>
                <w:rFonts w:ascii="Arial" w:eastAsia="Arial" w:hAnsi="Arial" w:cs="Arial"/>
                <w:sz w:val="22"/>
                <w:szCs w:val="22"/>
              </w:rPr>
            </w:pPr>
            <w:r w:rsidRPr="44BB25C2">
              <w:rPr>
                <w:rFonts w:ascii="Arial" w:eastAsia="Arial" w:hAnsi="Arial" w:cs="Arial"/>
                <w:sz w:val="22"/>
                <w:szCs w:val="22"/>
              </w:rPr>
              <w:t>.</w:t>
            </w:r>
          </w:p>
        </w:tc>
        <w:tc>
          <w:tcPr>
            <w:tcW w:w="990" w:type="dxa"/>
            <w:vAlign w:val="center"/>
          </w:tcPr>
          <w:p w14:paraId="3AEEB2CA" w14:textId="20B51C6B" w:rsidR="39648B85" w:rsidRDefault="39648B85" w:rsidP="007E3654">
            <w:pPr>
              <w:spacing w:after="0"/>
              <w:jc w:val="both"/>
              <w:rPr>
                <w:rFonts w:ascii="Arial" w:eastAsia="Arial" w:hAnsi="Arial" w:cs="Arial"/>
                <w:sz w:val="22"/>
                <w:szCs w:val="22"/>
              </w:rPr>
            </w:pPr>
            <w:r w:rsidRPr="4CA1D688">
              <w:rPr>
                <w:rFonts w:ascii="Arial" w:eastAsia="Arial" w:hAnsi="Arial" w:cs="Arial"/>
                <w:sz w:val="22"/>
                <w:szCs w:val="22"/>
              </w:rPr>
              <w:t>6</w:t>
            </w:r>
            <w:r w:rsidR="4CA1D688" w:rsidRPr="4CA1D688">
              <w:rPr>
                <w:rFonts w:ascii="Arial" w:eastAsia="Arial" w:hAnsi="Arial" w:cs="Arial"/>
                <w:sz w:val="22"/>
                <w:szCs w:val="22"/>
              </w:rPr>
              <w:t>.2</w:t>
            </w:r>
          </w:p>
        </w:tc>
        <w:tc>
          <w:tcPr>
            <w:tcW w:w="2430" w:type="dxa"/>
            <w:vAlign w:val="center"/>
          </w:tcPr>
          <w:p w14:paraId="18719A34" w14:textId="19DBD557" w:rsidR="4CA1D688" w:rsidRDefault="3D93DA24"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Actualizar y publicar el procedimiento de administración del riesgo</w:t>
            </w:r>
          </w:p>
        </w:tc>
        <w:tc>
          <w:tcPr>
            <w:tcW w:w="1785" w:type="dxa"/>
            <w:vAlign w:val="center"/>
          </w:tcPr>
          <w:p w14:paraId="0E7127CA" w14:textId="5FE971E6" w:rsidR="4CA1D688" w:rsidRDefault="29F78C57"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Procedimiento actualizado y publicado</w:t>
            </w:r>
          </w:p>
        </w:tc>
        <w:tc>
          <w:tcPr>
            <w:tcW w:w="1652" w:type="dxa"/>
            <w:vAlign w:val="center"/>
          </w:tcPr>
          <w:p w14:paraId="30DB3E57" w14:textId="227C0AF8"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3D0855D9" w14:textId="77777777" w:rsidTr="26FB17D3">
        <w:trPr>
          <w:trHeight w:val="300"/>
        </w:trPr>
        <w:tc>
          <w:tcPr>
            <w:tcW w:w="2310" w:type="dxa"/>
            <w:vAlign w:val="center"/>
          </w:tcPr>
          <w:p w14:paraId="3D9DA8C2" w14:textId="2A6A968F" w:rsidR="4CA1D688" w:rsidRDefault="7079E364" w:rsidP="44BB25C2">
            <w:pPr>
              <w:spacing w:after="0"/>
              <w:jc w:val="both"/>
              <w:rPr>
                <w:rFonts w:ascii="Arial" w:eastAsia="Arial" w:hAnsi="Arial" w:cs="Arial"/>
                <w:sz w:val="22"/>
                <w:szCs w:val="22"/>
              </w:rPr>
            </w:pPr>
            <w:r w:rsidRPr="44BB25C2">
              <w:rPr>
                <w:rFonts w:ascii="Arial" w:eastAsia="Arial" w:hAnsi="Arial" w:cs="Arial"/>
                <w:sz w:val="22"/>
                <w:szCs w:val="22"/>
                <w:lang w:val="es-CO"/>
              </w:rPr>
              <w:t xml:space="preserve">Fortalecer la documentación </w:t>
            </w:r>
            <w:r w:rsidRPr="44BB25C2">
              <w:rPr>
                <w:rFonts w:ascii="Arial" w:eastAsia="Arial" w:hAnsi="Arial" w:cs="Arial"/>
                <w:sz w:val="22"/>
                <w:szCs w:val="22"/>
                <w:lang w:val="es-CO"/>
              </w:rPr>
              <w:lastRenderedPageBreak/>
              <w:t>asociada al proceso de administración del riesgo.</w:t>
            </w:r>
          </w:p>
          <w:p w14:paraId="7A636959" w14:textId="76D576BD" w:rsidR="4CA1D688" w:rsidRDefault="691F737E" w:rsidP="007E3654">
            <w:pPr>
              <w:spacing w:after="0"/>
              <w:jc w:val="both"/>
              <w:rPr>
                <w:rFonts w:ascii="Arial" w:eastAsia="Arial" w:hAnsi="Arial" w:cs="Arial"/>
                <w:sz w:val="22"/>
                <w:szCs w:val="22"/>
              </w:rPr>
            </w:pPr>
            <w:r w:rsidRPr="44BB25C2">
              <w:rPr>
                <w:rFonts w:ascii="Arial" w:eastAsia="Arial" w:hAnsi="Arial" w:cs="Arial"/>
                <w:sz w:val="22"/>
                <w:szCs w:val="22"/>
              </w:rPr>
              <w:t>.</w:t>
            </w:r>
          </w:p>
        </w:tc>
        <w:tc>
          <w:tcPr>
            <w:tcW w:w="990" w:type="dxa"/>
            <w:vAlign w:val="center"/>
          </w:tcPr>
          <w:p w14:paraId="4CC98917" w14:textId="086802B1" w:rsidR="0F5B7D3A" w:rsidRDefault="0F5B7D3A" w:rsidP="007E3654">
            <w:pPr>
              <w:spacing w:after="0"/>
              <w:jc w:val="both"/>
              <w:rPr>
                <w:rFonts w:ascii="Arial" w:eastAsia="Arial" w:hAnsi="Arial" w:cs="Arial"/>
                <w:sz w:val="22"/>
                <w:szCs w:val="22"/>
              </w:rPr>
            </w:pPr>
            <w:r w:rsidRPr="4CA1D688">
              <w:rPr>
                <w:rFonts w:ascii="Arial" w:eastAsia="Arial" w:hAnsi="Arial" w:cs="Arial"/>
                <w:sz w:val="22"/>
                <w:szCs w:val="22"/>
              </w:rPr>
              <w:lastRenderedPageBreak/>
              <w:t>6</w:t>
            </w:r>
            <w:r w:rsidR="4CA1D688" w:rsidRPr="4CA1D688">
              <w:rPr>
                <w:rFonts w:ascii="Arial" w:eastAsia="Arial" w:hAnsi="Arial" w:cs="Arial"/>
                <w:sz w:val="22"/>
                <w:szCs w:val="22"/>
              </w:rPr>
              <w:t>.3</w:t>
            </w:r>
          </w:p>
        </w:tc>
        <w:tc>
          <w:tcPr>
            <w:tcW w:w="2430" w:type="dxa"/>
            <w:vAlign w:val="center"/>
          </w:tcPr>
          <w:p w14:paraId="719AE1C5" w14:textId="73BDC5E1" w:rsidR="4CA1D688" w:rsidRDefault="33CB3146"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 xml:space="preserve">Socializar la documentación </w:t>
            </w:r>
            <w:r w:rsidRPr="44BB25C2">
              <w:rPr>
                <w:rFonts w:ascii="Arial" w:eastAsia="Arial" w:hAnsi="Arial" w:cs="Arial"/>
                <w:color w:val="000000" w:themeColor="text1"/>
                <w:sz w:val="22"/>
                <w:szCs w:val="22"/>
              </w:rPr>
              <w:lastRenderedPageBreak/>
              <w:t>actualizada (Formato matriz de riesgos y procedimiento de riesgos)</w:t>
            </w:r>
          </w:p>
        </w:tc>
        <w:tc>
          <w:tcPr>
            <w:tcW w:w="1785" w:type="dxa"/>
            <w:vAlign w:val="center"/>
          </w:tcPr>
          <w:p w14:paraId="5E51F1A3" w14:textId="47A299ED" w:rsidR="4CA1D688" w:rsidRDefault="1A749CF7"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lastRenderedPageBreak/>
              <w:t xml:space="preserve">Evidencia de socialización </w:t>
            </w:r>
            <w:r w:rsidRPr="44BB25C2">
              <w:rPr>
                <w:rFonts w:ascii="Arial" w:eastAsia="Arial" w:hAnsi="Arial" w:cs="Arial"/>
                <w:color w:val="000000" w:themeColor="text1"/>
                <w:sz w:val="22"/>
                <w:szCs w:val="22"/>
              </w:rPr>
              <w:lastRenderedPageBreak/>
              <w:t>(Piezas Comunicacionales y/o correo electrónico)</w:t>
            </w:r>
          </w:p>
        </w:tc>
        <w:tc>
          <w:tcPr>
            <w:tcW w:w="1652" w:type="dxa"/>
            <w:vAlign w:val="center"/>
          </w:tcPr>
          <w:p w14:paraId="1630E87A" w14:textId="0AE69D5C"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lastRenderedPageBreak/>
              <w:t>Dependencia de Planeación</w:t>
            </w:r>
          </w:p>
        </w:tc>
      </w:tr>
      <w:tr w:rsidR="4CA1D688" w14:paraId="670A3288" w14:textId="77777777" w:rsidTr="26FB17D3">
        <w:trPr>
          <w:trHeight w:val="300"/>
        </w:trPr>
        <w:tc>
          <w:tcPr>
            <w:tcW w:w="2310" w:type="dxa"/>
            <w:vAlign w:val="center"/>
          </w:tcPr>
          <w:p w14:paraId="5F266523" w14:textId="2A6A968F" w:rsidR="4CA1D688" w:rsidRDefault="384F3326" w:rsidP="44BB25C2">
            <w:pPr>
              <w:spacing w:after="0"/>
              <w:jc w:val="both"/>
              <w:rPr>
                <w:rFonts w:ascii="Arial" w:eastAsia="Arial" w:hAnsi="Arial" w:cs="Arial"/>
                <w:sz w:val="22"/>
                <w:szCs w:val="22"/>
              </w:rPr>
            </w:pPr>
            <w:r w:rsidRPr="44BB25C2">
              <w:rPr>
                <w:rFonts w:ascii="Arial" w:eastAsia="Arial" w:hAnsi="Arial" w:cs="Arial"/>
                <w:sz w:val="22"/>
                <w:szCs w:val="22"/>
                <w:lang w:val="es-CO"/>
              </w:rPr>
              <w:t>Fortalecer la documentación asociada al proceso de administración del riesgo.</w:t>
            </w:r>
          </w:p>
          <w:p w14:paraId="6AA9386F" w14:textId="2DA35DEA" w:rsidR="4CA1D688" w:rsidRDefault="4CA1D688" w:rsidP="007E3654">
            <w:pPr>
              <w:spacing w:after="0"/>
              <w:jc w:val="both"/>
              <w:rPr>
                <w:rFonts w:ascii="Arial" w:eastAsia="Arial" w:hAnsi="Arial" w:cs="Arial"/>
                <w:sz w:val="22"/>
                <w:szCs w:val="22"/>
              </w:rPr>
            </w:pPr>
          </w:p>
        </w:tc>
        <w:tc>
          <w:tcPr>
            <w:tcW w:w="990" w:type="dxa"/>
            <w:vAlign w:val="center"/>
          </w:tcPr>
          <w:p w14:paraId="2E9CA9D8" w14:textId="45DD8F3B" w:rsidR="69CE4089" w:rsidRDefault="4D7F9A16" w:rsidP="007E3654">
            <w:pPr>
              <w:spacing w:after="0"/>
              <w:jc w:val="both"/>
              <w:rPr>
                <w:rFonts w:ascii="Arial" w:eastAsia="Arial" w:hAnsi="Arial" w:cs="Arial"/>
                <w:sz w:val="22"/>
                <w:szCs w:val="22"/>
              </w:rPr>
            </w:pPr>
            <w:r w:rsidRPr="44BB25C2">
              <w:rPr>
                <w:rFonts w:ascii="Arial" w:eastAsia="Arial" w:hAnsi="Arial" w:cs="Arial"/>
                <w:sz w:val="22"/>
                <w:szCs w:val="22"/>
              </w:rPr>
              <w:t>6.4</w:t>
            </w:r>
          </w:p>
        </w:tc>
        <w:tc>
          <w:tcPr>
            <w:tcW w:w="2430" w:type="dxa"/>
            <w:vAlign w:val="center"/>
          </w:tcPr>
          <w:p w14:paraId="299B50D9" w14:textId="0B19A824" w:rsidR="4CA1D688" w:rsidRDefault="5FC61D07"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Elaborar e implementar procedimiento para la gestión de los conflictos de intereses (Definir lineamientos y registros para declaración y tratamiento de conflictos de interés, Implementar controles y mecanismos de seguimiento)</w:t>
            </w:r>
          </w:p>
        </w:tc>
        <w:tc>
          <w:tcPr>
            <w:tcW w:w="1785" w:type="dxa"/>
            <w:vAlign w:val="center"/>
          </w:tcPr>
          <w:p w14:paraId="13144AE8" w14:textId="38D840E2" w:rsidR="4CA1D688" w:rsidRDefault="2CF4714A"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Procedimiento y documentos para la gestión de los conflictos de intereses publicado</w:t>
            </w:r>
          </w:p>
        </w:tc>
        <w:tc>
          <w:tcPr>
            <w:tcW w:w="1652" w:type="dxa"/>
            <w:vAlign w:val="center"/>
          </w:tcPr>
          <w:p w14:paraId="55CD7021" w14:textId="121F62A4" w:rsidR="4CA1D688" w:rsidRDefault="6932C69C"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Dependencia de Planeación, Gestión Legal, Talento Humano y Adquisición de Bienes y Servicios</w:t>
            </w:r>
          </w:p>
        </w:tc>
      </w:tr>
      <w:tr w:rsidR="4CA1D688" w14:paraId="77395397" w14:textId="77777777" w:rsidTr="26FB17D3">
        <w:trPr>
          <w:trHeight w:val="300"/>
        </w:trPr>
        <w:tc>
          <w:tcPr>
            <w:tcW w:w="2310" w:type="dxa"/>
            <w:vAlign w:val="center"/>
          </w:tcPr>
          <w:p w14:paraId="1A47394C" w14:textId="2A6A968F" w:rsidR="4CA1D688" w:rsidRDefault="4F5A71EC" w:rsidP="44BB25C2">
            <w:pPr>
              <w:spacing w:after="0"/>
              <w:jc w:val="both"/>
              <w:rPr>
                <w:rFonts w:ascii="Arial" w:eastAsia="Arial" w:hAnsi="Arial" w:cs="Arial"/>
                <w:sz w:val="22"/>
                <w:szCs w:val="22"/>
              </w:rPr>
            </w:pPr>
            <w:r w:rsidRPr="44BB25C2">
              <w:rPr>
                <w:rFonts w:ascii="Arial" w:eastAsia="Arial" w:hAnsi="Arial" w:cs="Arial"/>
                <w:sz w:val="22"/>
                <w:szCs w:val="22"/>
                <w:lang w:val="es-CO"/>
              </w:rPr>
              <w:t>Fortalecer la documentación asociada al proceso de administración del riesgo.</w:t>
            </w:r>
          </w:p>
          <w:p w14:paraId="2F7B9B2D" w14:textId="20B91E8C" w:rsidR="4CA1D688" w:rsidRDefault="4CA1D688" w:rsidP="007E3654">
            <w:pPr>
              <w:spacing w:after="0"/>
              <w:jc w:val="both"/>
              <w:rPr>
                <w:rFonts w:ascii="Arial" w:eastAsia="Arial" w:hAnsi="Arial" w:cs="Arial"/>
                <w:sz w:val="22"/>
                <w:szCs w:val="22"/>
              </w:rPr>
            </w:pPr>
          </w:p>
        </w:tc>
        <w:tc>
          <w:tcPr>
            <w:tcW w:w="990" w:type="dxa"/>
            <w:vAlign w:val="center"/>
          </w:tcPr>
          <w:p w14:paraId="7E14980D" w14:textId="72C0CB47" w:rsidR="0012C528" w:rsidRDefault="43CC3E5C" w:rsidP="007E3654">
            <w:pPr>
              <w:spacing w:after="0"/>
              <w:jc w:val="both"/>
              <w:rPr>
                <w:rFonts w:ascii="Arial" w:eastAsia="Arial" w:hAnsi="Arial" w:cs="Arial"/>
                <w:sz w:val="22"/>
                <w:szCs w:val="22"/>
              </w:rPr>
            </w:pPr>
            <w:r w:rsidRPr="44BB25C2">
              <w:rPr>
                <w:rFonts w:ascii="Arial" w:eastAsia="Arial" w:hAnsi="Arial" w:cs="Arial"/>
                <w:sz w:val="22"/>
                <w:szCs w:val="22"/>
              </w:rPr>
              <w:t>6.5</w:t>
            </w:r>
          </w:p>
        </w:tc>
        <w:tc>
          <w:tcPr>
            <w:tcW w:w="2430" w:type="dxa"/>
            <w:vAlign w:val="center"/>
          </w:tcPr>
          <w:p w14:paraId="148CC531" w14:textId="37EE5762" w:rsidR="4CA1D688" w:rsidRDefault="2D0216AC"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Socializar el procedimiento para la gestión de los conflictos de intereses a servidores y contratistas</w:t>
            </w:r>
          </w:p>
        </w:tc>
        <w:tc>
          <w:tcPr>
            <w:tcW w:w="1785" w:type="dxa"/>
            <w:vAlign w:val="center"/>
          </w:tcPr>
          <w:p w14:paraId="35311799" w14:textId="70283EA1" w:rsidR="4CA1D688" w:rsidRDefault="0091C578"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Evidencia de socialización (Piezas Comunicacionales y/o correo electrónico)</w:t>
            </w:r>
          </w:p>
        </w:tc>
        <w:tc>
          <w:tcPr>
            <w:tcW w:w="1652" w:type="dxa"/>
            <w:vAlign w:val="center"/>
          </w:tcPr>
          <w:p w14:paraId="6C60810E" w14:textId="334E4FA7" w:rsidR="4CA1D688" w:rsidRDefault="1375053A"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Gestión Legal, Talento Humano y Adquisición de Bienes y Servicios</w:t>
            </w:r>
          </w:p>
        </w:tc>
      </w:tr>
      <w:tr w:rsidR="4CA1D688" w14:paraId="33298786" w14:textId="77777777" w:rsidTr="26FB17D3">
        <w:trPr>
          <w:trHeight w:val="300"/>
        </w:trPr>
        <w:tc>
          <w:tcPr>
            <w:tcW w:w="2310" w:type="dxa"/>
            <w:vAlign w:val="center"/>
          </w:tcPr>
          <w:p w14:paraId="78268B92" w14:textId="2A6A968F" w:rsidR="4CA1D688" w:rsidRDefault="6B5ADADF" w:rsidP="44BB25C2">
            <w:pPr>
              <w:spacing w:after="0"/>
              <w:jc w:val="both"/>
              <w:rPr>
                <w:rFonts w:ascii="Arial" w:eastAsia="Arial" w:hAnsi="Arial" w:cs="Arial"/>
                <w:sz w:val="22"/>
                <w:szCs w:val="22"/>
              </w:rPr>
            </w:pPr>
            <w:r w:rsidRPr="44BB25C2">
              <w:rPr>
                <w:rFonts w:ascii="Arial" w:eastAsia="Arial" w:hAnsi="Arial" w:cs="Arial"/>
                <w:sz w:val="22"/>
                <w:szCs w:val="22"/>
                <w:lang w:val="es-CO"/>
              </w:rPr>
              <w:t>Fortalecer la documentación asociada al proceso de administración del riesgo.</w:t>
            </w:r>
          </w:p>
          <w:p w14:paraId="65EE823D" w14:textId="03EB5A18" w:rsidR="4CA1D688" w:rsidRDefault="4CA1D688" w:rsidP="007E3654">
            <w:pPr>
              <w:spacing w:after="0"/>
              <w:jc w:val="both"/>
              <w:rPr>
                <w:rFonts w:ascii="Arial" w:eastAsia="Arial" w:hAnsi="Arial" w:cs="Arial"/>
                <w:sz w:val="22"/>
                <w:szCs w:val="22"/>
              </w:rPr>
            </w:pPr>
          </w:p>
        </w:tc>
        <w:tc>
          <w:tcPr>
            <w:tcW w:w="990" w:type="dxa"/>
            <w:vAlign w:val="center"/>
          </w:tcPr>
          <w:p w14:paraId="3F1A106F" w14:textId="6179BB58" w:rsidR="63069547" w:rsidRDefault="5E8CC404" w:rsidP="007E3654">
            <w:pPr>
              <w:spacing w:after="0"/>
              <w:jc w:val="both"/>
              <w:rPr>
                <w:rFonts w:ascii="Arial" w:eastAsia="Arial" w:hAnsi="Arial" w:cs="Arial"/>
                <w:sz w:val="22"/>
                <w:szCs w:val="22"/>
              </w:rPr>
            </w:pPr>
            <w:r w:rsidRPr="44BB25C2">
              <w:rPr>
                <w:rFonts w:ascii="Arial" w:eastAsia="Arial" w:hAnsi="Arial" w:cs="Arial"/>
                <w:sz w:val="22"/>
                <w:szCs w:val="22"/>
              </w:rPr>
              <w:t>6.6</w:t>
            </w:r>
          </w:p>
        </w:tc>
        <w:tc>
          <w:tcPr>
            <w:tcW w:w="2430" w:type="dxa"/>
            <w:vAlign w:val="center"/>
          </w:tcPr>
          <w:p w14:paraId="19B06901" w14:textId="0ACC463B" w:rsidR="4CA1D688" w:rsidRDefault="19B750DE"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Validar e implementar procedimiento para la operación del canal institucional de denuncias por corrupción y buzón ético (Verificar y ajustar los mecanismos de seguimiento y trazabilidad de denuncias)</w:t>
            </w:r>
          </w:p>
        </w:tc>
        <w:tc>
          <w:tcPr>
            <w:tcW w:w="1785" w:type="dxa"/>
            <w:vAlign w:val="center"/>
          </w:tcPr>
          <w:p w14:paraId="40824A23" w14:textId="0B3D12A7" w:rsidR="4CA1D688" w:rsidRDefault="15F94840"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Procedimiento implementado</w:t>
            </w:r>
          </w:p>
        </w:tc>
        <w:tc>
          <w:tcPr>
            <w:tcW w:w="1652" w:type="dxa"/>
            <w:vAlign w:val="center"/>
          </w:tcPr>
          <w:p w14:paraId="21A924C2" w14:textId="500D4006" w:rsidR="4CA1D688" w:rsidRDefault="4D6AC178"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Dirección de Atención al Ciudadano y Control Interno Disciplinario, Oficial de Cumplimiento</w:t>
            </w:r>
          </w:p>
        </w:tc>
      </w:tr>
      <w:tr w:rsidR="4CA1D688" w14:paraId="166439AA" w14:textId="77777777" w:rsidTr="26FB17D3">
        <w:trPr>
          <w:trHeight w:val="300"/>
        </w:trPr>
        <w:tc>
          <w:tcPr>
            <w:tcW w:w="2310" w:type="dxa"/>
            <w:vAlign w:val="center"/>
          </w:tcPr>
          <w:p w14:paraId="2BDE3FE7" w14:textId="2A6A968F" w:rsidR="4CA1D688" w:rsidRDefault="2D9A19B2" w:rsidP="44BB25C2">
            <w:pPr>
              <w:spacing w:after="0"/>
              <w:jc w:val="both"/>
              <w:rPr>
                <w:rFonts w:ascii="Arial" w:eastAsia="Arial" w:hAnsi="Arial" w:cs="Arial"/>
                <w:sz w:val="22"/>
                <w:szCs w:val="22"/>
              </w:rPr>
            </w:pPr>
            <w:r w:rsidRPr="44BB25C2">
              <w:rPr>
                <w:rFonts w:ascii="Arial" w:eastAsia="Arial" w:hAnsi="Arial" w:cs="Arial"/>
                <w:sz w:val="22"/>
                <w:szCs w:val="22"/>
                <w:lang w:val="es-CO"/>
              </w:rPr>
              <w:t>Fortalecer la documentación asociada al proceso de administración del riesgo.</w:t>
            </w:r>
          </w:p>
          <w:p w14:paraId="6A4B9CBE" w14:textId="23BCDA31" w:rsidR="4CA1D688" w:rsidRDefault="4CA1D688" w:rsidP="007E3654">
            <w:pPr>
              <w:spacing w:after="0"/>
              <w:jc w:val="both"/>
              <w:rPr>
                <w:rFonts w:ascii="Arial" w:eastAsia="Arial" w:hAnsi="Arial" w:cs="Arial"/>
                <w:sz w:val="22"/>
                <w:szCs w:val="22"/>
              </w:rPr>
            </w:pPr>
          </w:p>
        </w:tc>
        <w:tc>
          <w:tcPr>
            <w:tcW w:w="990" w:type="dxa"/>
            <w:vAlign w:val="center"/>
          </w:tcPr>
          <w:p w14:paraId="1A726808" w14:textId="133B444C" w:rsidR="4370B0D0" w:rsidRDefault="39788414" w:rsidP="007E3654">
            <w:pPr>
              <w:spacing w:after="0"/>
              <w:jc w:val="both"/>
              <w:rPr>
                <w:rFonts w:ascii="Arial" w:eastAsia="Arial" w:hAnsi="Arial" w:cs="Arial"/>
                <w:sz w:val="22"/>
                <w:szCs w:val="22"/>
              </w:rPr>
            </w:pPr>
            <w:r w:rsidRPr="44BB25C2">
              <w:rPr>
                <w:rFonts w:ascii="Arial" w:eastAsia="Arial" w:hAnsi="Arial" w:cs="Arial"/>
                <w:sz w:val="22"/>
                <w:szCs w:val="22"/>
              </w:rPr>
              <w:t>6.7</w:t>
            </w:r>
          </w:p>
        </w:tc>
        <w:tc>
          <w:tcPr>
            <w:tcW w:w="2430" w:type="dxa"/>
            <w:vAlign w:val="center"/>
          </w:tcPr>
          <w:p w14:paraId="7650976F" w14:textId="47D3A0BB" w:rsidR="4CA1D688" w:rsidRDefault="7176F710"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Socializar el funcionamiento del buzón ético y canal anticorrupción, procedimiento para la operación del canal institucional de denuncias por corrupción y buzón ético</w:t>
            </w:r>
          </w:p>
        </w:tc>
        <w:tc>
          <w:tcPr>
            <w:tcW w:w="1785" w:type="dxa"/>
            <w:vAlign w:val="center"/>
          </w:tcPr>
          <w:p w14:paraId="72F08D4E" w14:textId="5F4396BC" w:rsidR="4CA1D688" w:rsidRDefault="533C331B"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Evidencia de socialización (Piezas Comunicacionales y/o correo electrónico)</w:t>
            </w:r>
          </w:p>
        </w:tc>
        <w:tc>
          <w:tcPr>
            <w:tcW w:w="1652" w:type="dxa"/>
            <w:vAlign w:val="center"/>
          </w:tcPr>
          <w:p w14:paraId="5C5DE68C" w14:textId="22855475" w:rsidR="4CA1D688" w:rsidRDefault="2CF88934"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Dirección de Atención al Ciudadano y Control Interno Disciplinario, Oficial de Cumplimiento</w:t>
            </w:r>
          </w:p>
        </w:tc>
      </w:tr>
      <w:tr w:rsidR="4CA1D688" w14:paraId="32CFF341" w14:textId="77777777" w:rsidTr="26FB17D3">
        <w:trPr>
          <w:trHeight w:val="300"/>
        </w:trPr>
        <w:tc>
          <w:tcPr>
            <w:tcW w:w="2310" w:type="dxa"/>
            <w:vAlign w:val="center"/>
          </w:tcPr>
          <w:p w14:paraId="669C268D" w14:textId="2A6A968F" w:rsidR="4CA1D688" w:rsidRDefault="25B2C064" w:rsidP="44BB25C2">
            <w:pPr>
              <w:spacing w:after="0"/>
              <w:jc w:val="both"/>
              <w:rPr>
                <w:rFonts w:ascii="Arial" w:eastAsia="Arial" w:hAnsi="Arial" w:cs="Arial"/>
                <w:sz w:val="22"/>
                <w:szCs w:val="22"/>
              </w:rPr>
            </w:pPr>
            <w:r w:rsidRPr="44BB25C2">
              <w:rPr>
                <w:rFonts w:ascii="Arial" w:eastAsia="Arial" w:hAnsi="Arial" w:cs="Arial"/>
                <w:sz w:val="22"/>
                <w:szCs w:val="22"/>
                <w:lang w:val="es-CO"/>
              </w:rPr>
              <w:lastRenderedPageBreak/>
              <w:t>Fortalecer la documentación asociada al proceso de administración del riesgo.</w:t>
            </w:r>
          </w:p>
          <w:p w14:paraId="25340CA4" w14:textId="288F5264" w:rsidR="4CA1D688" w:rsidRDefault="4CA1D688" w:rsidP="007E3654">
            <w:pPr>
              <w:spacing w:after="0"/>
              <w:jc w:val="both"/>
              <w:rPr>
                <w:rFonts w:ascii="Arial" w:eastAsia="Arial" w:hAnsi="Arial" w:cs="Arial"/>
                <w:sz w:val="22"/>
                <w:szCs w:val="22"/>
              </w:rPr>
            </w:pPr>
          </w:p>
        </w:tc>
        <w:tc>
          <w:tcPr>
            <w:tcW w:w="990" w:type="dxa"/>
            <w:vAlign w:val="center"/>
          </w:tcPr>
          <w:p w14:paraId="146D2F37" w14:textId="340F4E61" w:rsidR="3FE00620" w:rsidRDefault="25B2C064" w:rsidP="007E3654">
            <w:pPr>
              <w:spacing w:after="0"/>
              <w:jc w:val="both"/>
              <w:rPr>
                <w:rFonts w:ascii="Arial" w:eastAsia="Arial" w:hAnsi="Arial" w:cs="Arial"/>
                <w:sz w:val="22"/>
                <w:szCs w:val="22"/>
              </w:rPr>
            </w:pPr>
            <w:r w:rsidRPr="44BB25C2">
              <w:rPr>
                <w:rFonts w:ascii="Arial" w:eastAsia="Arial" w:hAnsi="Arial" w:cs="Arial"/>
                <w:sz w:val="22"/>
                <w:szCs w:val="22"/>
              </w:rPr>
              <w:t>6.8</w:t>
            </w:r>
          </w:p>
        </w:tc>
        <w:tc>
          <w:tcPr>
            <w:tcW w:w="2430" w:type="dxa"/>
            <w:vAlign w:val="center"/>
          </w:tcPr>
          <w:p w14:paraId="6A27244A" w14:textId="0C00DF85" w:rsidR="4CA1D688" w:rsidRDefault="3820E711"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Realizar la validación institucional sobre la existencia formal del rol de Oficial de Cumplimiento en la ESAP, identificando las responsabilidades asociadas y, en caso de no encontrarse designado, determinar el área o funcionario que actualmente asume dichas funciones y competencias.</w:t>
            </w:r>
          </w:p>
        </w:tc>
        <w:tc>
          <w:tcPr>
            <w:tcW w:w="1785" w:type="dxa"/>
            <w:vAlign w:val="center"/>
          </w:tcPr>
          <w:p w14:paraId="3D7E1378" w14:textId="372629B7" w:rsidR="4CA1D688" w:rsidRDefault="78391983" w:rsidP="44BB25C2">
            <w:pPr>
              <w:spacing w:after="0"/>
              <w:jc w:val="both"/>
              <w:rPr>
                <w:rFonts w:ascii="Arial" w:eastAsia="Arial" w:hAnsi="Arial" w:cs="Arial"/>
                <w:sz w:val="22"/>
                <w:szCs w:val="22"/>
              </w:rPr>
            </w:pPr>
            <w:r w:rsidRPr="26FB17D3">
              <w:rPr>
                <w:rFonts w:ascii="Arial" w:eastAsia="Arial" w:hAnsi="Arial" w:cs="Arial"/>
                <w:color w:val="000000" w:themeColor="text1"/>
                <w:sz w:val="22"/>
                <w:szCs w:val="22"/>
              </w:rPr>
              <w:t>Correo electrónico y/o Active</w:t>
            </w:r>
            <w:r w:rsidR="43A2E5DA" w:rsidRPr="26FB17D3">
              <w:rPr>
                <w:rFonts w:ascii="Arial" w:eastAsia="Arial" w:hAnsi="Arial" w:cs="Arial"/>
                <w:color w:val="000000" w:themeColor="text1"/>
                <w:sz w:val="22"/>
                <w:szCs w:val="22"/>
              </w:rPr>
              <w:t>-D</w:t>
            </w:r>
            <w:r w:rsidRPr="26FB17D3">
              <w:rPr>
                <w:rFonts w:ascii="Arial" w:eastAsia="Arial" w:hAnsi="Arial" w:cs="Arial"/>
                <w:color w:val="000000" w:themeColor="text1"/>
                <w:sz w:val="22"/>
                <w:szCs w:val="22"/>
              </w:rPr>
              <w:t>ocument</w:t>
            </w:r>
          </w:p>
        </w:tc>
        <w:tc>
          <w:tcPr>
            <w:tcW w:w="1652" w:type="dxa"/>
            <w:vAlign w:val="center"/>
          </w:tcPr>
          <w:p w14:paraId="1EC82705" w14:textId="77C04E8B"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6E7A0F89" w14:textId="77777777" w:rsidTr="26FB17D3">
        <w:trPr>
          <w:trHeight w:val="300"/>
        </w:trPr>
        <w:tc>
          <w:tcPr>
            <w:tcW w:w="2310" w:type="dxa"/>
            <w:vAlign w:val="center"/>
          </w:tcPr>
          <w:p w14:paraId="5DBD867C" w14:textId="3D558D45" w:rsidR="4CA1D688" w:rsidRDefault="6672D5E1" w:rsidP="44BB25C2">
            <w:pPr>
              <w:spacing w:after="0"/>
              <w:jc w:val="both"/>
              <w:rPr>
                <w:rFonts w:ascii="Arial" w:eastAsia="Arial" w:hAnsi="Arial" w:cs="Arial"/>
                <w:sz w:val="22"/>
                <w:szCs w:val="22"/>
              </w:rPr>
            </w:pPr>
            <w:r w:rsidRPr="44BB25C2">
              <w:rPr>
                <w:rFonts w:ascii="Arial" w:eastAsia="Arial" w:hAnsi="Arial" w:cs="Arial"/>
                <w:sz w:val="22"/>
                <w:szCs w:val="22"/>
                <w:lang w:val="es-CO"/>
              </w:rPr>
              <w:t>Revisar y ajustar las matrices de riesgos institucionales.</w:t>
            </w:r>
          </w:p>
          <w:p w14:paraId="14FE07FE" w14:textId="35B31DA8" w:rsidR="4CA1D688" w:rsidRDefault="4CA1D688" w:rsidP="007E3654">
            <w:pPr>
              <w:spacing w:after="0"/>
              <w:jc w:val="both"/>
              <w:rPr>
                <w:rFonts w:ascii="Arial" w:eastAsia="Arial" w:hAnsi="Arial" w:cs="Arial"/>
                <w:sz w:val="22"/>
                <w:szCs w:val="22"/>
              </w:rPr>
            </w:pPr>
          </w:p>
        </w:tc>
        <w:tc>
          <w:tcPr>
            <w:tcW w:w="990" w:type="dxa"/>
            <w:vAlign w:val="center"/>
          </w:tcPr>
          <w:p w14:paraId="060FB1CF" w14:textId="524E996B" w:rsidR="158A1694" w:rsidRDefault="65B99A38" w:rsidP="007E3654">
            <w:pPr>
              <w:spacing w:after="0"/>
              <w:jc w:val="both"/>
              <w:rPr>
                <w:rFonts w:ascii="Arial" w:eastAsia="Arial" w:hAnsi="Arial" w:cs="Arial"/>
                <w:sz w:val="22"/>
                <w:szCs w:val="22"/>
              </w:rPr>
            </w:pPr>
            <w:r w:rsidRPr="44BB25C2">
              <w:rPr>
                <w:rFonts w:ascii="Arial" w:eastAsia="Arial" w:hAnsi="Arial" w:cs="Arial"/>
                <w:sz w:val="22"/>
                <w:szCs w:val="22"/>
              </w:rPr>
              <w:t>7.1</w:t>
            </w:r>
          </w:p>
        </w:tc>
        <w:tc>
          <w:tcPr>
            <w:tcW w:w="2430" w:type="dxa"/>
            <w:vAlign w:val="center"/>
          </w:tcPr>
          <w:p w14:paraId="6A4A2585" w14:textId="5474B760" w:rsidR="4CA1D688" w:rsidRDefault="2E9CFD99"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Revisar las matrices actuales de los 17 procesos institucionales y fortalecer los controles</w:t>
            </w:r>
          </w:p>
        </w:tc>
        <w:tc>
          <w:tcPr>
            <w:tcW w:w="1785" w:type="dxa"/>
            <w:vAlign w:val="center"/>
          </w:tcPr>
          <w:p w14:paraId="6A01EAC9" w14:textId="188A846F" w:rsidR="4CA1D688" w:rsidRDefault="1E835374"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Diagnóstico de matrices actuales</w:t>
            </w:r>
          </w:p>
        </w:tc>
        <w:tc>
          <w:tcPr>
            <w:tcW w:w="1652" w:type="dxa"/>
            <w:vAlign w:val="center"/>
          </w:tcPr>
          <w:p w14:paraId="1C84BEB8" w14:textId="40B7BF03" w:rsidR="4CA1D688" w:rsidRDefault="4CA1D688" w:rsidP="007E3654">
            <w:pPr>
              <w:spacing w:after="0"/>
              <w:jc w:val="both"/>
              <w:rPr>
                <w:rFonts w:ascii="Arial" w:eastAsia="Arial" w:hAnsi="Arial" w:cs="Arial"/>
                <w:sz w:val="22"/>
                <w:szCs w:val="22"/>
              </w:rPr>
            </w:pPr>
            <w:r w:rsidRPr="4CA1D688">
              <w:rPr>
                <w:rFonts w:ascii="Arial" w:eastAsia="Arial" w:hAnsi="Arial" w:cs="Arial"/>
                <w:sz w:val="22"/>
                <w:szCs w:val="22"/>
              </w:rPr>
              <w:t>Dependencia de Planeación</w:t>
            </w:r>
          </w:p>
        </w:tc>
      </w:tr>
      <w:tr w:rsidR="4CA1D688" w14:paraId="16D62F7C" w14:textId="77777777" w:rsidTr="26FB17D3">
        <w:trPr>
          <w:trHeight w:val="300"/>
        </w:trPr>
        <w:tc>
          <w:tcPr>
            <w:tcW w:w="2310" w:type="dxa"/>
            <w:vAlign w:val="center"/>
          </w:tcPr>
          <w:p w14:paraId="0196B407" w14:textId="3D558D45" w:rsidR="4CA1D688" w:rsidRDefault="3D875BB2" w:rsidP="44BB25C2">
            <w:pPr>
              <w:spacing w:after="0"/>
              <w:jc w:val="both"/>
              <w:rPr>
                <w:rFonts w:ascii="Arial" w:eastAsia="Arial" w:hAnsi="Arial" w:cs="Arial"/>
                <w:sz w:val="22"/>
                <w:szCs w:val="22"/>
              </w:rPr>
            </w:pPr>
            <w:r w:rsidRPr="44BB25C2">
              <w:rPr>
                <w:rFonts w:ascii="Arial" w:eastAsia="Arial" w:hAnsi="Arial" w:cs="Arial"/>
                <w:sz w:val="22"/>
                <w:szCs w:val="22"/>
                <w:lang w:val="es-CO"/>
              </w:rPr>
              <w:t>Revisar y ajustar las matrices de riesgos institucionales.</w:t>
            </w:r>
          </w:p>
          <w:p w14:paraId="34D20864" w14:textId="63C0A1B4" w:rsidR="4CA1D688" w:rsidRDefault="4CA1D688" w:rsidP="007E3654">
            <w:pPr>
              <w:spacing w:after="0"/>
              <w:jc w:val="both"/>
              <w:rPr>
                <w:rFonts w:ascii="Arial" w:eastAsia="Arial" w:hAnsi="Arial" w:cs="Arial"/>
                <w:sz w:val="22"/>
                <w:szCs w:val="22"/>
              </w:rPr>
            </w:pPr>
          </w:p>
        </w:tc>
        <w:tc>
          <w:tcPr>
            <w:tcW w:w="990" w:type="dxa"/>
            <w:vAlign w:val="center"/>
          </w:tcPr>
          <w:p w14:paraId="78ABB66A" w14:textId="1E8EEF4B" w:rsidR="5DB6FB0C" w:rsidRDefault="678B97F8" w:rsidP="007E3654">
            <w:pPr>
              <w:spacing w:after="0"/>
              <w:jc w:val="both"/>
              <w:rPr>
                <w:rFonts w:ascii="Arial" w:eastAsia="Arial" w:hAnsi="Arial" w:cs="Arial"/>
                <w:sz w:val="22"/>
                <w:szCs w:val="22"/>
              </w:rPr>
            </w:pPr>
            <w:r w:rsidRPr="44BB25C2">
              <w:rPr>
                <w:rFonts w:ascii="Arial" w:eastAsia="Arial" w:hAnsi="Arial" w:cs="Arial"/>
                <w:sz w:val="22"/>
                <w:szCs w:val="22"/>
              </w:rPr>
              <w:t>7.2</w:t>
            </w:r>
          </w:p>
        </w:tc>
        <w:tc>
          <w:tcPr>
            <w:tcW w:w="2430" w:type="dxa"/>
            <w:vAlign w:val="center"/>
          </w:tcPr>
          <w:p w14:paraId="02E171FA" w14:textId="793593B7" w:rsidR="4CA1D688" w:rsidRDefault="4AFFA6DA"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Desarrollar e implementar metodología de taller de riesgos con todas las tipologías</w:t>
            </w:r>
          </w:p>
        </w:tc>
        <w:tc>
          <w:tcPr>
            <w:tcW w:w="1785" w:type="dxa"/>
            <w:vAlign w:val="center"/>
          </w:tcPr>
          <w:p w14:paraId="7D1CD62A" w14:textId="2689E85F" w:rsidR="4CA1D688" w:rsidRDefault="5DEB6DBF" w:rsidP="44BB25C2">
            <w:pPr>
              <w:shd w:val="clear" w:color="auto" w:fill="FFFFFF" w:themeFill="background1"/>
              <w:spacing w:after="0"/>
              <w:jc w:val="both"/>
            </w:pPr>
            <w:r w:rsidRPr="44BB25C2">
              <w:rPr>
                <w:rFonts w:ascii="Arial" w:eastAsia="Arial" w:hAnsi="Arial" w:cs="Arial"/>
                <w:color w:val="000000" w:themeColor="text1"/>
                <w:sz w:val="22"/>
                <w:szCs w:val="22"/>
              </w:rPr>
              <w:t>Metodología de taller de riesgos</w:t>
            </w:r>
          </w:p>
          <w:p w14:paraId="13A28E2E" w14:textId="6193D519" w:rsidR="4CA1D688" w:rsidRDefault="5DEB6DBF" w:rsidP="44BB25C2">
            <w:pPr>
              <w:shd w:val="clear" w:color="auto" w:fill="FFFFFF" w:themeFill="background1"/>
              <w:spacing w:after="0"/>
              <w:jc w:val="both"/>
            </w:pPr>
            <w:r w:rsidRPr="44BB25C2">
              <w:rPr>
                <w:rFonts w:ascii="Arial" w:eastAsia="Arial" w:hAnsi="Arial" w:cs="Arial"/>
                <w:color w:val="000000" w:themeColor="text1"/>
                <w:sz w:val="22"/>
                <w:szCs w:val="22"/>
              </w:rPr>
              <w:t>Grabación, listas de asistencia, presentación</w:t>
            </w:r>
          </w:p>
          <w:p w14:paraId="56BC6F3E" w14:textId="2482FB1E" w:rsidR="4CA1D688" w:rsidRDefault="4CA1D688" w:rsidP="007E3654">
            <w:pPr>
              <w:spacing w:after="0"/>
              <w:jc w:val="both"/>
              <w:rPr>
                <w:rFonts w:ascii="Arial" w:eastAsia="Arial" w:hAnsi="Arial" w:cs="Arial"/>
                <w:sz w:val="22"/>
                <w:szCs w:val="22"/>
              </w:rPr>
            </w:pPr>
          </w:p>
        </w:tc>
        <w:tc>
          <w:tcPr>
            <w:tcW w:w="1652" w:type="dxa"/>
            <w:vAlign w:val="center"/>
          </w:tcPr>
          <w:p w14:paraId="425E1EFA" w14:textId="40B7BF03" w:rsidR="4CA1D688" w:rsidRDefault="131107BE" w:rsidP="44BB25C2">
            <w:pPr>
              <w:spacing w:after="0"/>
              <w:jc w:val="both"/>
              <w:rPr>
                <w:rFonts w:ascii="Arial" w:eastAsia="Arial" w:hAnsi="Arial" w:cs="Arial"/>
                <w:sz w:val="22"/>
                <w:szCs w:val="22"/>
              </w:rPr>
            </w:pPr>
            <w:r w:rsidRPr="44BB25C2">
              <w:rPr>
                <w:rFonts w:ascii="Arial" w:eastAsia="Arial" w:hAnsi="Arial" w:cs="Arial"/>
                <w:sz w:val="22"/>
                <w:szCs w:val="22"/>
              </w:rPr>
              <w:t>Dependencia de Planeación</w:t>
            </w:r>
          </w:p>
          <w:p w14:paraId="1EDDA727" w14:textId="6F360225" w:rsidR="4CA1D688" w:rsidRDefault="4CA1D688" w:rsidP="007E3654">
            <w:pPr>
              <w:spacing w:after="0"/>
              <w:jc w:val="both"/>
              <w:rPr>
                <w:rFonts w:ascii="Arial" w:eastAsia="Arial" w:hAnsi="Arial" w:cs="Arial"/>
                <w:sz w:val="22"/>
                <w:szCs w:val="22"/>
              </w:rPr>
            </w:pPr>
          </w:p>
        </w:tc>
      </w:tr>
      <w:tr w:rsidR="4CA1D688" w14:paraId="23A8F696" w14:textId="77777777" w:rsidTr="26FB17D3">
        <w:trPr>
          <w:trHeight w:val="300"/>
        </w:trPr>
        <w:tc>
          <w:tcPr>
            <w:tcW w:w="2310" w:type="dxa"/>
            <w:vAlign w:val="center"/>
          </w:tcPr>
          <w:p w14:paraId="498DA8B0" w14:textId="3D558D45" w:rsidR="4CA1D688" w:rsidRDefault="62531A5B" w:rsidP="44BB25C2">
            <w:pPr>
              <w:spacing w:after="0"/>
              <w:jc w:val="both"/>
              <w:rPr>
                <w:rFonts w:ascii="Arial" w:eastAsia="Arial" w:hAnsi="Arial" w:cs="Arial"/>
                <w:sz w:val="22"/>
                <w:szCs w:val="22"/>
              </w:rPr>
            </w:pPr>
            <w:r w:rsidRPr="44BB25C2">
              <w:rPr>
                <w:rFonts w:ascii="Arial" w:eastAsia="Arial" w:hAnsi="Arial" w:cs="Arial"/>
                <w:sz w:val="22"/>
                <w:szCs w:val="22"/>
                <w:lang w:val="es-CO"/>
              </w:rPr>
              <w:t>Revisar y ajustar las matrices de riesgos institucionales.</w:t>
            </w:r>
          </w:p>
          <w:p w14:paraId="773E18E3" w14:textId="0CE0F16E" w:rsidR="4CA1D688" w:rsidRDefault="4CA1D688" w:rsidP="007E3654">
            <w:pPr>
              <w:spacing w:after="0"/>
              <w:jc w:val="both"/>
              <w:rPr>
                <w:rFonts w:ascii="Arial" w:eastAsia="Arial" w:hAnsi="Arial" w:cs="Arial"/>
                <w:sz w:val="22"/>
                <w:szCs w:val="22"/>
              </w:rPr>
            </w:pPr>
          </w:p>
        </w:tc>
        <w:tc>
          <w:tcPr>
            <w:tcW w:w="990" w:type="dxa"/>
            <w:vAlign w:val="center"/>
          </w:tcPr>
          <w:p w14:paraId="487F32E4" w14:textId="191E6AE8" w:rsidR="00622EA0" w:rsidRDefault="01352193" w:rsidP="007E3654">
            <w:pPr>
              <w:spacing w:after="0"/>
              <w:jc w:val="both"/>
              <w:rPr>
                <w:rFonts w:ascii="Arial" w:eastAsia="Arial" w:hAnsi="Arial" w:cs="Arial"/>
                <w:sz w:val="22"/>
                <w:szCs w:val="22"/>
              </w:rPr>
            </w:pPr>
            <w:r w:rsidRPr="44BB25C2">
              <w:rPr>
                <w:rFonts w:ascii="Arial" w:eastAsia="Arial" w:hAnsi="Arial" w:cs="Arial"/>
                <w:sz w:val="22"/>
                <w:szCs w:val="22"/>
              </w:rPr>
              <w:t>7.3</w:t>
            </w:r>
          </w:p>
        </w:tc>
        <w:tc>
          <w:tcPr>
            <w:tcW w:w="2430" w:type="dxa"/>
            <w:vAlign w:val="center"/>
          </w:tcPr>
          <w:p w14:paraId="7FFD9C1D" w14:textId="7169A77B" w:rsidR="4CA1D688" w:rsidRDefault="650DDACA"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Identificar nuevos riesgos asociados a las tipologías definidas</w:t>
            </w:r>
          </w:p>
        </w:tc>
        <w:tc>
          <w:tcPr>
            <w:tcW w:w="1785" w:type="dxa"/>
            <w:vAlign w:val="center"/>
          </w:tcPr>
          <w:p w14:paraId="72626A42" w14:textId="50B74043" w:rsidR="4CA1D688" w:rsidRDefault="373F0FFA"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Matriz de riesgos identificados</w:t>
            </w:r>
          </w:p>
        </w:tc>
        <w:tc>
          <w:tcPr>
            <w:tcW w:w="1652" w:type="dxa"/>
            <w:vAlign w:val="center"/>
          </w:tcPr>
          <w:p w14:paraId="170FBD3B" w14:textId="7E82C7B9" w:rsidR="4CA1D688" w:rsidRDefault="77D4881C" w:rsidP="44BB25C2">
            <w:pPr>
              <w:spacing w:after="0"/>
              <w:jc w:val="both"/>
              <w:rPr>
                <w:rFonts w:ascii="Arial" w:eastAsia="Arial" w:hAnsi="Arial" w:cs="Arial"/>
                <w:sz w:val="22"/>
                <w:szCs w:val="22"/>
              </w:rPr>
            </w:pPr>
            <w:r w:rsidRPr="44BB25C2">
              <w:rPr>
                <w:rFonts w:ascii="Arial" w:eastAsia="Arial" w:hAnsi="Arial" w:cs="Arial"/>
                <w:color w:val="000000" w:themeColor="text1"/>
                <w:sz w:val="22"/>
                <w:szCs w:val="22"/>
              </w:rPr>
              <w:t>Dependencia de Planeación y líderes de proceso</w:t>
            </w:r>
          </w:p>
        </w:tc>
      </w:tr>
      <w:tr w:rsidR="44BB25C2" w14:paraId="094FEC70" w14:textId="77777777" w:rsidTr="26FB17D3">
        <w:trPr>
          <w:trHeight w:val="300"/>
        </w:trPr>
        <w:tc>
          <w:tcPr>
            <w:tcW w:w="2310" w:type="dxa"/>
            <w:vAlign w:val="center"/>
          </w:tcPr>
          <w:p w14:paraId="46170720" w14:textId="2A7FCD91" w:rsidR="6937C891" w:rsidRDefault="6937C891" w:rsidP="44BB25C2">
            <w:pPr>
              <w:spacing w:after="0"/>
              <w:jc w:val="both"/>
              <w:rPr>
                <w:rFonts w:ascii="Arial" w:eastAsia="Arial" w:hAnsi="Arial" w:cs="Arial"/>
                <w:sz w:val="22"/>
                <w:szCs w:val="22"/>
              </w:rPr>
            </w:pPr>
            <w:r w:rsidRPr="44BB25C2">
              <w:rPr>
                <w:rFonts w:ascii="Arial" w:eastAsia="Arial" w:hAnsi="Arial" w:cs="Arial"/>
                <w:sz w:val="22"/>
                <w:szCs w:val="22"/>
                <w:lang w:val="es-CO"/>
              </w:rPr>
              <w:t>Revisar y ajustar las matrices de riesgos institucionales.</w:t>
            </w:r>
          </w:p>
        </w:tc>
        <w:tc>
          <w:tcPr>
            <w:tcW w:w="990" w:type="dxa"/>
            <w:vAlign w:val="center"/>
          </w:tcPr>
          <w:p w14:paraId="545BFE6F" w14:textId="49D66BAB" w:rsidR="6937C891" w:rsidRDefault="6937C891" w:rsidP="44BB25C2">
            <w:pPr>
              <w:jc w:val="both"/>
              <w:rPr>
                <w:rFonts w:ascii="Arial" w:eastAsia="Arial" w:hAnsi="Arial" w:cs="Arial"/>
                <w:sz w:val="22"/>
                <w:szCs w:val="22"/>
              </w:rPr>
            </w:pPr>
            <w:r w:rsidRPr="44BB25C2">
              <w:rPr>
                <w:rFonts w:ascii="Arial" w:eastAsia="Arial" w:hAnsi="Arial" w:cs="Arial"/>
                <w:sz w:val="22"/>
                <w:szCs w:val="22"/>
              </w:rPr>
              <w:t>7.4</w:t>
            </w:r>
          </w:p>
        </w:tc>
        <w:tc>
          <w:tcPr>
            <w:tcW w:w="2430" w:type="dxa"/>
            <w:vAlign w:val="center"/>
          </w:tcPr>
          <w:p w14:paraId="77B1FB4B" w14:textId="38A87F12" w:rsidR="3FBB1999" w:rsidRDefault="3FBB1999" w:rsidP="44BB25C2">
            <w:pPr>
              <w:jc w:val="both"/>
              <w:rPr>
                <w:rFonts w:ascii="Arial" w:eastAsia="Arial" w:hAnsi="Arial" w:cs="Arial"/>
                <w:sz w:val="22"/>
                <w:szCs w:val="22"/>
              </w:rPr>
            </w:pPr>
            <w:r w:rsidRPr="44BB25C2">
              <w:rPr>
                <w:rFonts w:ascii="Arial" w:eastAsia="Arial" w:hAnsi="Arial" w:cs="Arial"/>
                <w:color w:val="000000" w:themeColor="text1"/>
                <w:sz w:val="22"/>
                <w:szCs w:val="22"/>
              </w:rPr>
              <w:t>Validar y aprobar las matrices con cada líder de proceso</w:t>
            </w:r>
          </w:p>
        </w:tc>
        <w:tc>
          <w:tcPr>
            <w:tcW w:w="1785" w:type="dxa"/>
            <w:vAlign w:val="center"/>
          </w:tcPr>
          <w:p w14:paraId="38CEF086" w14:textId="639CEC45" w:rsidR="6E86510E" w:rsidRDefault="6E86510E" w:rsidP="44BB25C2">
            <w:pPr>
              <w:jc w:val="both"/>
              <w:rPr>
                <w:rFonts w:ascii="Arial" w:eastAsia="Arial" w:hAnsi="Arial" w:cs="Arial"/>
                <w:sz w:val="22"/>
                <w:szCs w:val="22"/>
              </w:rPr>
            </w:pPr>
            <w:r w:rsidRPr="44BB25C2">
              <w:rPr>
                <w:rFonts w:ascii="Arial" w:eastAsia="Arial" w:hAnsi="Arial" w:cs="Arial"/>
                <w:color w:val="000000" w:themeColor="text1"/>
                <w:sz w:val="22"/>
                <w:szCs w:val="22"/>
              </w:rPr>
              <w:t>Matrices validadas por proceso</w:t>
            </w:r>
          </w:p>
        </w:tc>
        <w:tc>
          <w:tcPr>
            <w:tcW w:w="1652" w:type="dxa"/>
            <w:vAlign w:val="center"/>
          </w:tcPr>
          <w:p w14:paraId="48C75E8E" w14:textId="7BDC96DF" w:rsidR="0BF5AB4E" w:rsidRDefault="0BF5AB4E" w:rsidP="44BB25C2">
            <w:pPr>
              <w:jc w:val="both"/>
              <w:rPr>
                <w:rFonts w:ascii="Arial" w:eastAsia="Arial" w:hAnsi="Arial" w:cs="Arial"/>
                <w:sz w:val="22"/>
                <w:szCs w:val="22"/>
              </w:rPr>
            </w:pPr>
            <w:r w:rsidRPr="44BB25C2">
              <w:rPr>
                <w:rFonts w:ascii="Arial" w:eastAsia="Arial" w:hAnsi="Arial" w:cs="Arial"/>
                <w:color w:val="000000" w:themeColor="text1"/>
                <w:sz w:val="22"/>
                <w:szCs w:val="22"/>
              </w:rPr>
              <w:t>Dependencia de Planeación y líderes de proceso</w:t>
            </w:r>
          </w:p>
        </w:tc>
      </w:tr>
      <w:tr w:rsidR="44BB25C2" w14:paraId="3B4BC9CB" w14:textId="77777777" w:rsidTr="26FB17D3">
        <w:trPr>
          <w:trHeight w:val="300"/>
        </w:trPr>
        <w:tc>
          <w:tcPr>
            <w:tcW w:w="2310" w:type="dxa"/>
            <w:vAlign w:val="center"/>
          </w:tcPr>
          <w:p w14:paraId="63D08902" w14:textId="4A795660" w:rsidR="6937C891" w:rsidRDefault="6937C891" w:rsidP="44BB25C2">
            <w:pPr>
              <w:spacing w:after="0"/>
              <w:jc w:val="both"/>
              <w:rPr>
                <w:rFonts w:ascii="Arial" w:eastAsia="Arial" w:hAnsi="Arial" w:cs="Arial"/>
                <w:sz w:val="22"/>
                <w:szCs w:val="22"/>
              </w:rPr>
            </w:pPr>
            <w:r w:rsidRPr="44BB25C2">
              <w:rPr>
                <w:rFonts w:ascii="Arial" w:eastAsia="Arial" w:hAnsi="Arial" w:cs="Arial"/>
                <w:sz w:val="22"/>
                <w:szCs w:val="22"/>
                <w:lang w:val="es-CO"/>
              </w:rPr>
              <w:t>Revisar y ajustar las matrices de riesgos institucionales</w:t>
            </w:r>
          </w:p>
        </w:tc>
        <w:tc>
          <w:tcPr>
            <w:tcW w:w="990" w:type="dxa"/>
            <w:vAlign w:val="center"/>
          </w:tcPr>
          <w:p w14:paraId="6B5430A5" w14:textId="3E550993" w:rsidR="6937C891" w:rsidRDefault="6937C891" w:rsidP="44BB25C2">
            <w:pPr>
              <w:jc w:val="both"/>
              <w:rPr>
                <w:rFonts w:ascii="Arial" w:eastAsia="Arial" w:hAnsi="Arial" w:cs="Arial"/>
                <w:sz w:val="22"/>
                <w:szCs w:val="22"/>
              </w:rPr>
            </w:pPr>
            <w:r w:rsidRPr="44BB25C2">
              <w:rPr>
                <w:rFonts w:ascii="Arial" w:eastAsia="Arial" w:hAnsi="Arial" w:cs="Arial"/>
                <w:sz w:val="22"/>
                <w:szCs w:val="22"/>
              </w:rPr>
              <w:t>7.5</w:t>
            </w:r>
          </w:p>
        </w:tc>
        <w:tc>
          <w:tcPr>
            <w:tcW w:w="2430" w:type="dxa"/>
            <w:vAlign w:val="center"/>
          </w:tcPr>
          <w:p w14:paraId="3290D771" w14:textId="5235C93C" w:rsidR="18C4FE76" w:rsidRDefault="18C4FE76" w:rsidP="44BB25C2">
            <w:pPr>
              <w:jc w:val="both"/>
              <w:rPr>
                <w:rFonts w:ascii="Arial" w:eastAsia="Arial" w:hAnsi="Arial" w:cs="Arial"/>
                <w:sz w:val="22"/>
                <w:szCs w:val="22"/>
              </w:rPr>
            </w:pPr>
            <w:r w:rsidRPr="44BB25C2">
              <w:rPr>
                <w:rFonts w:ascii="Arial" w:eastAsia="Arial" w:hAnsi="Arial" w:cs="Arial"/>
                <w:color w:val="000000" w:themeColor="text1"/>
                <w:sz w:val="22"/>
                <w:szCs w:val="22"/>
              </w:rPr>
              <w:t>Consolidar el mapa institucional de riesgos actualizado</w:t>
            </w:r>
          </w:p>
        </w:tc>
        <w:tc>
          <w:tcPr>
            <w:tcW w:w="1785" w:type="dxa"/>
            <w:vAlign w:val="center"/>
          </w:tcPr>
          <w:p w14:paraId="469BD7C4" w14:textId="062D7CC9" w:rsidR="30D173B2" w:rsidRDefault="30D173B2" w:rsidP="44BB25C2">
            <w:pPr>
              <w:jc w:val="both"/>
              <w:rPr>
                <w:rFonts w:ascii="Arial" w:eastAsia="Arial" w:hAnsi="Arial" w:cs="Arial"/>
                <w:sz w:val="22"/>
                <w:szCs w:val="22"/>
              </w:rPr>
            </w:pPr>
            <w:r w:rsidRPr="44BB25C2">
              <w:rPr>
                <w:rFonts w:ascii="Arial" w:eastAsia="Arial" w:hAnsi="Arial" w:cs="Arial"/>
                <w:color w:val="000000" w:themeColor="text1"/>
                <w:sz w:val="22"/>
                <w:szCs w:val="22"/>
              </w:rPr>
              <w:t>Mapa institucional de riesgos actualizado</w:t>
            </w:r>
          </w:p>
        </w:tc>
        <w:tc>
          <w:tcPr>
            <w:tcW w:w="1652" w:type="dxa"/>
            <w:vAlign w:val="center"/>
          </w:tcPr>
          <w:p w14:paraId="58FEE130" w14:textId="40B7BF03" w:rsidR="413A3FF9" w:rsidRDefault="413A3FF9" w:rsidP="44BB25C2">
            <w:pPr>
              <w:spacing w:after="0"/>
              <w:jc w:val="both"/>
              <w:rPr>
                <w:rFonts w:ascii="Arial" w:eastAsia="Arial" w:hAnsi="Arial" w:cs="Arial"/>
                <w:sz w:val="22"/>
                <w:szCs w:val="22"/>
              </w:rPr>
            </w:pPr>
            <w:r w:rsidRPr="44BB25C2">
              <w:rPr>
                <w:rFonts w:ascii="Arial" w:eastAsia="Arial" w:hAnsi="Arial" w:cs="Arial"/>
                <w:sz w:val="22"/>
                <w:szCs w:val="22"/>
              </w:rPr>
              <w:t>Dependencia de Planeación</w:t>
            </w:r>
          </w:p>
          <w:p w14:paraId="2067BE98" w14:textId="1A2B08D0" w:rsidR="44BB25C2" w:rsidRDefault="44BB25C2" w:rsidP="44BB25C2">
            <w:pPr>
              <w:jc w:val="both"/>
              <w:rPr>
                <w:rFonts w:ascii="Arial" w:eastAsia="Arial" w:hAnsi="Arial" w:cs="Arial"/>
                <w:sz w:val="22"/>
                <w:szCs w:val="22"/>
              </w:rPr>
            </w:pPr>
          </w:p>
        </w:tc>
      </w:tr>
    </w:tbl>
    <w:p w14:paraId="78BEF70F" w14:textId="47F160A1" w:rsidR="4CA1D688" w:rsidRPr="007D6EBA" w:rsidRDefault="4CA1D688" w:rsidP="007E3654">
      <w:pPr>
        <w:jc w:val="both"/>
        <w:rPr>
          <w:b/>
          <w:bCs/>
        </w:rPr>
      </w:pPr>
    </w:p>
    <w:p w14:paraId="5C97B81B" w14:textId="791A617A" w:rsidR="6CD8DC1F" w:rsidRPr="007D6EBA" w:rsidRDefault="007D6EBA" w:rsidP="007E3654">
      <w:pPr>
        <w:jc w:val="both"/>
        <w:rPr>
          <w:b/>
          <w:bCs/>
        </w:rPr>
      </w:pPr>
      <w:r w:rsidRPr="007D6EBA">
        <w:rPr>
          <w:b/>
          <w:bCs/>
        </w:rPr>
        <w:t xml:space="preserve">ANEXO </w:t>
      </w:r>
      <w:r>
        <w:rPr>
          <w:b/>
          <w:bCs/>
        </w:rPr>
        <w:t xml:space="preserve">ARCHIVO EXCEL </w:t>
      </w:r>
      <w:r w:rsidRPr="007D6EBA">
        <w:rPr>
          <w:b/>
          <w:bCs/>
        </w:rPr>
        <w:t>CRONOGRAMA PLANEACIÓN ACTIVIDADES</w:t>
      </w:r>
    </w:p>
    <w:p w14:paraId="7DE46502" w14:textId="76AF6759" w:rsidR="6CD8DC1F" w:rsidRDefault="6CD8DC1F" w:rsidP="007E3654">
      <w:pPr>
        <w:jc w:val="both"/>
      </w:pPr>
    </w:p>
    <w:p w14:paraId="6BA1144D" w14:textId="06162F52" w:rsidR="6CD8DC1F" w:rsidRDefault="6CD8DC1F" w:rsidP="44BB25C2">
      <w:pPr>
        <w:jc w:val="both"/>
        <w:rPr>
          <w:rFonts w:eastAsiaTheme="minorEastAsia"/>
          <w:sz w:val="22"/>
          <w:szCs w:val="22"/>
        </w:rPr>
      </w:pPr>
    </w:p>
    <w:sectPr w:rsidR="6CD8DC1F">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D8F1" w14:textId="77777777" w:rsidR="002846D7" w:rsidRDefault="002846D7">
      <w:pPr>
        <w:spacing w:after="0" w:line="240" w:lineRule="auto"/>
      </w:pPr>
      <w:r>
        <w:separator/>
      </w:r>
    </w:p>
  </w:endnote>
  <w:endnote w:type="continuationSeparator" w:id="0">
    <w:p w14:paraId="3CBD0019" w14:textId="77777777" w:rsidR="002846D7" w:rsidRDefault="00284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Nova">
    <w:panose1 w:val="020B0504020202020204"/>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005"/>
      <w:gridCol w:w="3005"/>
      <w:gridCol w:w="3005"/>
    </w:tblGrid>
    <w:tr w:rsidR="4CA1D688" w14:paraId="619F3412" w14:textId="77777777" w:rsidTr="4CA1D688">
      <w:trPr>
        <w:trHeight w:val="300"/>
      </w:trPr>
      <w:tc>
        <w:tcPr>
          <w:tcW w:w="3005" w:type="dxa"/>
        </w:tcPr>
        <w:p w14:paraId="77961FE3" w14:textId="381BFABC" w:rsidR="4CA1D688" w:rsidRDefault="4CA1D688" w:rsidP="4CA1D688">
          <w:pPr>
            <w:pStyle w:val="Encabezado"/>
            <w:ind w:left="-115"/>
          </w:pPr>
        </w:p>
      </w:tc>
      <w:tc>
        <w:tcPr>
          <w:tcW w:w="3005" w:type="dxa"/>
        </w:tcPr>
        <w:p w14:paraId="2DF48236" w14:textId="0B2C606F" w:rsidR="4CA1D688" w:rsidRDefault="4CA1D688" w:rsidP="4CA1D688">
          <w:pPr>
            <w:pStyle w:val="Encabezado"/>
            <w:jc w:val="center"/>
          </w:pPr>
        </w:p>
      </w:tc>
      <w:tc>
        <w:tcPr>
          <w:tcW w:w="3005" w:type="dxa"/>
        </w:tcPr>
        <w:p w14:paraId="1F937E3D" w14:textId="2A15179B" w:rsidR="4CA1D688" w:rsidRDefault="4CA1D688" w:rsidP="4CA1D688">
          <w:pPr>
            <w:pStyle w:val="Encabezado"/>
            <w:ind w:right="-115"/>
            <w:jc w:val="right"/>
          </w:pPr>
        </w:p>
      </w:tc>
    </w:tr>
  </w:tbl>
  <w:p w14:paraId="2E427052" w14:textId="722264BE" w:rsidR="4CA1D688" w:rsidRDefault="4CA1D688" w:rsidP="4CA1D6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69808" w14:textId="77777777" w:rsidR="002846D7" w:rsidRDefault="002846D7">
      <w:pPr>
        <w:spacing w:after="0" w:line="240" w:lineRule="auto"/>
      </w:pPr>
      <w:r>
        <w:separator/>
      </w:r>
    </w:p>
  </w:footnote>
  <w:footnote w:type="continuationSeparator" w:id="0">
    <w:p w14:paraId="0D3139F1" w14:textId="77777777" w:rsidR="002846D7" w:rsidRDefault="002846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3A76E" w14:textId="1167E878" w:rsidR="4CA1D688" w:rsidRDefault="4CA1D688" w:rsidP="4CA1D688">
    <w:pPr>
      <w:pStyle w:val="Encabezado"/>
      <w:jc w:val="right"/>
    </w:pPr>
    <w:r w:rsidRPr="5F74F58C">
      <w:rPr>
        <w:noProof/>
      </w:rPr>
      <w:fldChar w:fldCharType="begin"/>
    </w:r>
    <w:r>
      <w:instrText>PAGE</w:instrText>
    </w:r>
    <w:r w:rsidRPr="5F74F58C">
      <w:fldChar w:fldCharType="separate"/>
    </w:r>
    <w:r w:rsidR="5F74F58C" w:rsidRPr="5F74F58C">
      <w:rPr>
        <w:noProof/>
      </w:rPr>
      <w:t>1</w:t>
    </w:r>
    <w:r w:rsidRPr="5F74F58C">
      <w:rPr>
        <w:noProof/>
      </w:rPr>
      <w:fldChar w:fldCharType="end"/>
    </w:r>
  </w:p>
  <w:p w14:paraId="01CBF848" w14:textId="1FBE2F76" w:rsidR="4CA1D688" w:rsidRDefault="4CA1D688" w:rsidP="4CA1D68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D47E2"/>
    <w:multiLevelType w:val="hybridMultilevel"/>
    <w:tmpl w:val="4A4EE796"/>
    <w:lvl w:ilvl="0" w:tplc="EB828512">
      <w:start w:val="1"/>
      <w:numFmt w:val="decimal"/>
      <w:lvlText w:val="%1."/>
      <w:lvlJc w:val="left"/>
      <w:pPr>
        <w:ind w:left="720" w:hanging="360"/>
      </w:pPr>
    </w:lvl>
    <w:lvl w:ilvl="1" w:tplc="6BEE0734">
      <w:start w:val="1"/>
      <w:numFmt w:val="lowerLetter"/>
      <w:lvlText w:val="%2."/>
      <w:lvlJc w:val="left"/>
      <w:pPr>
        <w:ind w:left="1440" w:hanging="360"/>
      </w:pPr>
    </w:lvl>
    <w:lvl w:ilvl="2" w:tplc="A0A8C7DC">
      <w:start w:val="1"/>
      <w:numFmt w:val="lowerRoman"/>
      <w:lvlText w:val="%3."/>
      <w:lvlJc w:val="right"/>
      <w:pPr>
        <w:ind w:left="2160" w:hanging="180"/>
      </w:pPr>
    </w:lvl>
    <w:lvl w:ilvl="3" w:tplc="CA466852">
      <w:start w:val="1"/>
      <w:numFmt w:val="decimal"/>
      <w:lvlText w:val="%4."/>
      <w:lvlJc w:val="left"/>
      <w:pPr>
        <w:ind w:left="2880" w:hanging="360"/>
      </w:pPr>
    </w:lvl>
    <w:lvl w:ilvl="4" w:tplc="B33810C4">
      <w:start w:val="1"/>
      <w:numFmt w:val="lowerLetter"/>
      <w:lvlText w:val="%5."/>
      <w:lvlJc w:val="left"/>
      <w:pPr>
        <w:ind w:left="3600" w:hanging="360"/>
      </w:pPr>
    </w:lvl>
    <w:lvl w:ilvl="5" w:tplc="6FA80682">
      <w:start w:val="1"/>
      <w:numFmt w:val="lowerRoman"/>
      <w:lvlText w:val="%6."/>
      <w:lvlJc w:val="right"/>
      <w:pPr>
        <w:ind w:left="4320" w:hanging="180"/>
      </w:pPr>
    </w:lvl>
    <w:lvl w:ilvl="6" w:tplc="FB045108">
      <w:start w:val="1"/>
      <w:numFmt w:val="decimal"/>
      <w:lvlText w:val="%7."/>
      <w:lvlJc w:val="left"/>
      <w:pPr>
        <w:ind w:left="5040" w:hanging="360"/>
      </w:pPr>
    </w:lvl>
    <w:lvl w:ilvl="7" w:tplc="28DE2004">
      <w:start w:val="1"/>
      <w:numFmt w:val="lowerLetter"/>
      <w:lvlText w:val="%8."/>
      <w:lvlJc w:val="left"/>
      <w:pPr>
        <w:ind w:left="5760" w:hanging="360"/>
      </w:pPr>
    </w:lvl>
    <w:lvl w:ilvl="8" w:tplc="999A3C24">
      <w:start w:val="1"/>
      <w:numFmt w:val="lowerRoman"/>
      <w:lvlText w:val="%9."/>
      <w:lvlJc w:val="right"/>
      <w:pPr>
        <w:ind w:left="6480" w:hanging="180"/>
      </w:pPr>
    </w:lvl>
  </w:abstractNum>
  <w:abstractNum w:abstractNumId="1" w15:restartNumberingAfterBreak="0">
    <w:nsid w:val="14220209"/>
    <w:multiLevelType w:val="hybridMultilevel"/>
    <w:tmpl w:val="0C44DC28"/>
    <w:lvl w:ilvl="0" w:tplc="9F005C16">
      <w:start w:val="1"/>
      <w:numFmt w:val="decimal"/>
      <w:lvlText w:val="%1."/>
      <w:lvlJc w:val="left"/>
      <w:pPr>
        <w:ind w:left="720" w:hanging="360"/>
      </w:pPr>
    </w:lvl>
    <w:lvl w:ilvl="1" w:tplc="341200A8">
      <w:start w:val="1"/>
      <w:numFmt w:val="lowerLetter"/>
      <w:lvlText w:val="%2."/>
      <w:lvlJc w:val="left"/>
      <w:pPr>
        <w:ind w:left="1440" w:hanging="360"/>
      </w:pPr>
    </w:lvl>
    <w:lvl w:ilvl="2" w:tplc="7C44C8C4">
      <w:start w:val="1"/>
      <w:numFmt w:val="lowerRoman"/>
      <w:lvlText w:val="%3."/>
      <w:lvlJc w:val="right"/>
      <w:pPr>
        <w:ind w:left="2160" w:hanging="180"/>
      </w:pPr>
    </w:lvl>
    <w:lvl w:ilvl="3" w:tplc="B274AE32">
      <w:start w:val="1"/>
      <w:numFmt w:val="decimal"/>
      <w:lvlText w:val="%4."/>
      <w:lvlJc w:val="left"/>
      <w:pPr>
        <w:ind w:left="2880" w:hanging="360"/>
      </w:pPr>
    </w:lvl>
    <w:lvl w:ilvl="4" w:tplc="37B8DC46">
      <w:start w:val="1"/>
      <w:numFmt w:val="lowerLetter"/>
      <w:lvlText w:val="%5."/>
      <w:lvlJc w:val="left"/>
      <w:pPr>
        <w:ind w:left="3600" w:hanging="360"/>
      </w:pPr>
    </w:lvl>
    <w:lvl w:ilvl="5" w:tplc="0CB25E0A">
      <w:start w:val="1"/>
      <w:numFmt w:val="lowerRoman"/>
      <w:lvlText w:val="%6."/>
      <w:lvlJc w:val="right"/>
      <w:pPr>
        <w:ind w:left="4320" w:hanging="180"/>
      </w:pPr>
    </w:lvl>
    <w:lvl w:ilvl="6" w:tplc="37F89E9A">
      <w:start w:val="1"/>
      <w:numFmt w:val="decimal"/>
      <w:lvlText w:val="%7."/>
      <w:lvlJc w:val="left"/>
      <w:pPr>
        <w:ind w:left="5040" w:hanging="360"/>
      </w:pPr>
    </w:lvl>
    <w:lvl w:ilvl="7" w:tplc="06089A26">
      <w:start w:val="1"/>
      <w:numFmt w:val="lowerLetter"/>
      <w:lvlText w:val="%8."/>
      <w:lvlJc w:val="left"/>
      <w:pPr>
        <w:ind w:left="5760" w:hanging="360"/>
      </w:pPr>
    </w:lvl>
    <w:lvl w:ilvl="8" w:tplc="2F44BA6E">
      <w:start w:val="1"/>
      <w:numFmt w:val="lowerRoman"/>
      <w:lvlText w:val="%9."/>
      <w:lvlJc w:val="right"/>
      <w:pPr>
        <w:ind w:left="6480" w:hanging="180"/>
      </w:pPr>
    </w:lvl>
  </w:abstractNum>
  <w:abstractNum w:abstractNumId="2" w15:restartNumberingAfterBreak="0">
    <w:nsid w:val="1F07BEA7"/>
    <w:multiLevelType w:val="hybridMultilevel"/>
    <w:tmpl w:val="8A9CF0D2"/>
    <w:lvl w:ilvl="0" w:tplc="284AEAD8">
      <w:start w:val="1"/>
      <w:numFmt w:val="decimal"/>
      <w:lvlText w:val="%1."/>
      <w:lvlJc w:val="left"/>
      <w:pPr>
        <w:ind w:left="720" w:hanging="360"/>
      </w:pPr>
    </w:lvl>
    <w:lvl w:ilvl="1" w:tplc="1794EEE0">
      <w:start w:val="1"/>
      <w:numFmt w:val="lowerLetter"/>
      <w:lvlText w:val="%2."/>
      <w:lvlJc w:val="left"/>
      <w:pPr>
        <w:ind w:left="1440" w:hanging="360"/>
      </w:pPr>
    </w:lvl>
    <w:lvl w:ilvl="2" w:tplc="8DD0C5F6">
      <w:start w:val="1"/>
      <w:numFmt w:val="lowerRoman"/>
      <w:lvlText w:val="%3."/>
      <w:lvlJc w:val="right"/>
      <w:pPr>
        <w:ind w:left="2160" w:hanging="180"/>
      </w:pPr>
    </w:lvl>
    <w:lvl w:ilvl="3" w:tplc="E6060432">
      <w:start w:val="1"/>
      <w:numFmt w:val="decimal"/>
      <w:lvlText w:val="%4."/>
      <w:lvlJc w:val="left"/>
      <w:pPr>
        <w:ind w:left="2880" w:hanging="360"/>
      </w:pPr>
    </w:lvl>
    <w:lvl w:ilvl="4" w:tplc="6C6CE286">
      <w:start w:val="1"/>
      <w:numFmt w:val="lowerLetter"/>
      <w:lvlText w:val="%5."/>
      <w:lvlJc w:val="left"/>
      <w:pPr>
        <w:ind w:left="3600" w:hanging="360"/>
      </w:pPr>
    </w:lvl>
    <w:lvl w:ilvl="5" w:tplc="C986A4AA">
      <w:start w:val="1"/>
      <w:numFmt w:val="lowerRoman"/>
      <w:lvlText w:val="%6."/>
      <w:lvlJc w:val="right"/>
      <w:pPr>
        <w:ind w:left="4320" w:hanging="180"/>
      </w:pPr>
    </w:lvl>
    <w:lvl w:ilvl="6" w:tplc="99BAE398">
      <w:start w:val="1"/>
      <w:numFmt w:val="decimal"/>
      <w:lvlText w:val="%7."/>
      <w:lvlJc w:val="left"/>
      <w:pPr>
        <w:ind w:left="5040" w:hanging="360"/>
      </w:pPr>
    </w:lvl>
    <w:lvl w:ilvl="7" w:tplc="EAAC52DC">
      <w:start w:val="1"/>
      <w:numFmt w:val="lowerLetter"/>
      <w:lvlText w:val="%8."/>
      <w:lvlJc w:val="left"/>
      <w:pPr>
        <w:ind w:left="5760" w:hanging="360"/>
      </w:pPr>
    </w:lvl>
    <w:lvl w:ilvl="8" w:tplc="43E40BEE">
      <w:start w:val="1"/>
      <w:numFmt w:val="lowerRoman"/>
      <w:lvlText w:val="%9."/>
      <w:lvlJc w:val="right"/>
      <w:pPr>
        <w:ind w:left="6480" w:hanging="180"/>
      </w:pPr>
    </w:lvl>
  </w:abstractNum>
  <w:abstractNum w:abstractNumId="3" w15:restartNumberingAfterBreak="0">
    <w:nsid w:val="2296703A"/>
    <w:multiLevelType w:val="hybridMultilevel"/>
    <w:tmpl w:val="285A63B0"/>
    <w:lvl w:ilvl="0" w:tplc="CF160CC0">
      <w:start w:val="1"/>
      <w:numFmt w:val="decimal"/>
      <w:lvlText w:val="%1."/>
      <w:lvlJc w:val="left"/>
      <w:pPr>
        <w:ind w:left="720" w:hanging="360"/>
      </w:pPr>
    </w:lvl>
    <w:lvl w:ilvl="1" w:tplc="5DBA004A">
      <w:start w:val="1"/>
      <w:numFmt w:val="lowerLetter"/>
      <w:lvlText w:val="%2."/>
      <w:lvlJc w:val="left"/>
      <w:pPr>
        <w:ind w:left="1440" w:hanging="360"/>
      </w:pPr>
    </w:lvl>
    <w:lvl w:ilvl="2" w:tplc="7F78994C">
      <w:start w:val="1"/>
      <w:numFmt w:val="lowerRoman"/>
      <w:lvlText w:val="%3."/>
      <w:lvlJc w:val="right"/>
      <w:pPr>
        <w:ind w:left="2160" w:hanging="180"/>
      </w:pPr>
    </w:lvl>
    <w:lvl w:ilvl="3" w:tplc="89D648A0">
      <w:start w:val="1"/>
      <w:numFmt w:val="decimal"/>
      <w:lvlText w:val="%4."/>
      <w:lvlJc w:val="left"/>
      <w:pPr>
        <w:ind w:left="2880" w:hanging="360"/>
      </w:pPr>
    </w:lvl>
    <w:lvl w:ilvl="4" w:tplc="7F3E06E4">
      <w:start w:val="1"/>
      <w:numFmt w:val="lowerLetter"/>
      <w:lvlText w:val="%5."/>
      <w:lvlJc w:val="left"/>
      <w:pPr>
        <w:ind w:left="3600" w:hanging="360"/>
      </w:pPr>
    </w:lvl>
    <w:lvl w:ilvl="5" w:tplc="C92AF428">
      <w:start w:val="1"/>
      <w:numFmt w:val="lowerRoman"/>
      <w:lvlText w:val="%6."/>
      <w:lvlJc w:val="right"/>
      <w:pPr>
        <w:ind w:left="4320" w:hanging="180"/>
      </w:pPr>
    </w:lvl>
    <w:lvl w:ilvl="6" w:tplc="3E3018E4">
      <w:start w:val="1"/>
      <w:numFmt w:val="decimal"/>
      <w:lvlText w:val="%7."/>
      <w:lvlJc w:val="left"/>
      <w:pPr>
        <w:ind w:left="5040" w:hanging="360"/>
      </w:pPr>
    </w:lvl>
    <w:lvl w:ilvl="7" w:tplc="5FE06E72">
      <w:start w:val="1"/>
      <w:numFmt w:val="lowerLetter"/>
      <w:lvlText w:val="%8."/>
      <w:lvlJc w:val="left"/>
      <w:pPr>
        <w:ind w:left="5760" w:hanging="360"/>
      </w:pPr>
    </w:lvl>
    <w:lvl w:ilvl="8" w:tplc="748C8D24">
      <w:start w:val="1"/>
      <w:numFmt w:val="lowerRoman"/>
      <w:lvlText w:val="%9."/>
      <w:lvlJc w:val="right"/>
      <w:pPr>
        <w:ind w:left="6480" w:hanging="180"/>
      </w:pPr>
    </w:lvl>
  </w:abstractNum>
  <w:abstractNum w:abstractNumId="4" w15:restartNumberingAfterBreak="0">
    <w:nsid w:val="332782CD"/>
    <w:multiLevelType w:val="hybridMultilevel"/>
    <w:tmpl w:val="7760F7F2"/>
    <w:lvl w:ilvl="0" w:tplc="C9DECEE8">
      <w:start w:val="1"/>
      <w:numFmt w:val="decimal"/>
      <w:lvlText w:val="%1."/>
      <w:lvlJc w:val="left"/>
      <w:pPr>
        <w:ind w:left="720" w:hanging="360"/>
      </w:pPr>
    </w:lvl>
    <w:lvl w:ilvl="1" w:tplc="3586B634">
      <w:start w:val="1"/>
      <w:numFmt w:val="lowerLetter"/>
      <w:lvlText w:val="%2."/>
      <w:lvlJc w:val="left"/>
      <w:pPr>
        <w:ind w:left="1440" w:hanging="360"/>
      </w:pPr>
    </w:lvl>
    <w:lvl w:ilvl="2" w:tplc="95C092BC">
      <w:start w:val="1"/>
      <w:numFmt w:val="lowerRoman"/>
      <w:lvlText w:val="%3."/>
      <w:lvlJc w:val="right"/>
      <w:pPr>
        <w:ind w:left="2160" w:hanging="180"/>
      </w:pPr>
    </w:lvl>
    <w:lvl w:ilvl="3" w:tplc="DE061008">
      <w:start w:val="1"/>
      <w:numFmt w:val="decimal"/>
      <w:lvlText w:val="%4."/>
      <w:lvlJc w:val="left"/>
      <w:pPr>
        <w:ind w:left="2880" w:hanging="360"/>
      </w:pPr>
    </w:lvl>
    <w:lvl w:ilvl="4" w:tplc="41ACC4C2">
      <w:start w:val="1"/>
      <w:numFmt w:val="lowerLetter"/>
      <w:lvlText w:val="%5."/>
      <w:lvlJc w:val="left"/>
      <w:pPr>
        <w:ind w:left="3600" w:hanging="360"/>
      </w:pPr>
    </w:lvl>
    <w:lvl w:ilvl="5" w:tplc="DD742AC4">
      <w:start w:val="1"/>
      <w:numFmt w:val="lowerRoman"/>
      <w:lvlText w:val="%6."/>
      <w:lvlJc w:val="right"/>
      <w:pPr>
        <w:ind w:left="4320" w:hanging="180"/>
      </w:pPr>
    </w:lvl>
    <w:lvl w:ilvl="6" w:tplc="2CFE6658">
      <w:start w:val="1"/>
      <w:numFmt w:val="decimal"/>
      <w:lvlText w:val="%7."/>
      <w:lvlJc w:val="left"/>
      <w:pPr>
        <w:ind w:left="5040" w:hanging="360"/>
      </w:pPr>
    </w:lvl>
    <w:lvl w:ilvl="7" w:tplc="C7767370">
      <w:start w:val="1"/>
      <w:numFmt w:val="lowerLetter"/>
      <w:lvlText w:val="%8."/>
      <w:lvlJc w:val="left"/>
      <w:pPr>
        <w:ind w:left="5760" w:hanging="360"/>
      </w:pPr>
    </w:lvl>
    <w:lvl w:ilvl="8" w:tplc="F198EE92">
      <w:start w:val="1"/>
      <w:numFmt w:val="lowerRoman"/>
      <w:lvlText w:val="%9."/>
      <w:lvlJc w:val="right"/>
      <w:pPr>
        <w:ind w:left="6480" w:hanging="180"/>
      </w:pPr>
    </w:lvl>
  </w:abstractNum>
  <w:abstractNum w:abstractNumId="5" w15:restartNumberingAfterBreak="0">
    <w:nsid w:val="3474D900"/>
    <w:multiLevelType w:val="hybridMultilevel"/>
    <w:tmpl w:val="AB22A0E6"/>
    <w:lvl w:ilvl="0" w:tplc="14FC607C">
      <w:start w:val="1"/>
      <w:numFmt w:val="bullet"/>
      <w:lvlText w:val=""/>
      <w:lvlJc w:val="left"/>
      <w:pPr>
        <w:ind w:left="360" w:hanging="360"/>
      </w:pPr>
      <w:rPr>
        <w:rFonts w:ascii="Symbol" w:hAnsi="Symbol" w:hint="default"/>
      </w:rPr>
    </w:lvl>
    <w:lvl w:ilvl="1" w:tplc="E410BC32">
      <w:start w:val="1"/>
      <w:numFmt w:val="bullet"/>
      <w:lvlText w:val="o"/>
      <w:lvlJc w:val="left"/>
      <w:pPr>
        <w:ind w:left="1440" w:hanging="360"/>
      </w:pPr>
      <w:rPr>
        <w:rFonts w:ascii="Courier New" w:hAnsi="Courier New" w:hint="default"/>
      </w:rPr>
    </w:lvl>
    <w:lvl w:ilvl="2" w:tplc="4E964870">
      <w:start w:val="1"/>
      <w:numFmt w:val="bullet"/>
      <w:lvlText w:val=""/>
      <w:lvlJc w:val="left"/>
      <w:pPr>
        <w:ind w:left="2160" w:hanging="360"/>
      </w:pPr>
      <w:rPr>
        <w:rFonts w:ascii="Wingdings" w:hAnsi="Wingdings" w:hint="default"/>
      </w:rPr>
    </w:lvl>
    <w:lvl w:ilvl="3" w:tplc="4F562394">
      <w:start w:val="1"/>
      <w:numFmt w:val="bullet"/>
      <w:lvlText w:val=""/>
      <w:lvlJc w:val="left"/>
      <w:pPr>
        <w:ind w:left="2880" w:hanging="360"/>
      </w:pPr>
      <w:rPr>
        <w:rFonts w:ascii="Symbol" w:hAnsi="Symbol" w:hint="default"/>
      </w:rPr>
    </w:lvl>
    <w:lvl w:ilvl="4" w:tplc="66683F84">
      <w:start w:val="1"/>
      <w:numFmt w:val="bullet"/>
      <w:lvlText w:val="o"/>
      <w:lvlJc w:val="left"/>
      <w:pPr>
        <w:ind w:left="3600" w:hanging="360"/>
      </w:pPr>
      <w:rPr>
        <w:rFonts w:ascii="Courier New" w:hAnsi="Courier New" w:hint="default"/>
      </w:rPr>
    </w:lvl>
    <w:lvl w:ilvl="5" w:tplc="150E1DD4">
      <w:start w:val="1"/>
      <w:numFmt w:val="bullet"/>
      <w:lvlText w:val=""/>
      <w:lvlJc w:val="left"/>
      <w:pPr>
        <w:ind w:left="4320" w:hanging="360"/>
      </w:pPr>
      <w:rPr>
        <w:rFonts w:ascii="Wingdings" w:hAnsi="Wingdings" w:hint="default"/>
      </w:rPr>
    </w:lvl>
    <w:lvl w:ilvl="6" w:tplc="D95C5F0A">
      <w:start w:val="1"/>
      <w:numFmt w:val="bullet"/>
      <w:lvlText w:val=""/>
      <w:lvlJc w:val="left"/>
      <w:pPr>
        <w:ind w:left="5040" w:hanging="360"/>
      </w:pPr>
      <w:rPr>
        <w:rFonts w:ascii="Symbol" w:hAnsi="Symbol" w:hint="default"/>
      </w:rPr>
    </w:lvl>
    <w:lvl w:ilvl="7" w:tplc="6B8412B0">
      <w:start w:val="1"/>
      <w:numFmt w:val="bullet"/>
      <w:lvlText w:val="o"/>
      <w:lvlJc w:val="left"/>
      <w:pPr>
        <w:ind w:left="5760" w:hanging="360"/>
      </w:pPr>
      <w:rPr>
        <w:rFonts w:ascii="Courier New" w:hAnsi="Courier New" w:hint="default"/>
      </w:rPr>
    </w:lvl>
    <w:lvl w:ilvl="8" w:tplc="418CF652">
      <w:start w:val="1"/>
      <w:numFmt w:val="bullet"/>
      <w:lvlText w:val=""/>
      <w:lvlJc w:val="left"/>
      <w:pPr>
        <w:ind w:left="6480" w:hanging="360"/>
      </w:pPr>
      <w:rPr>
        <w:rFonts w:ascii="Wingdings" w:hAnsi="Wingdings" w:hint="default"/>
      </w:rPr>
    </w:lvl>
  </w:abstractNum>
  <w:abstractNum w:abstractNumId="6" w15:restartNumberingAfterBreak="0">
    <w:nsid w:val="5AE07445"/>
    <w:multiLevelType w:val="hybridMultilevel"/>
    <w:tmpl w:val="D0ACF98E"/>
    <w:lvl w:ilvl="0" w:tplc="64904DDC">
      <w:start w:val="1"/>
      <w:numFmt w:val="decimal"/>
      <w:lvlText w:val="%1."/>
      <w:lvlJc w:val="left"/>
      <w:pPr>
        <w:ind w:left="720" w:hanging="360"/>
      </w:pPr>
    </w:lvl>
    <w:lvl w:ilvl="1" w:tplc="656082CA">
      <w:start w:val="1"/>
      <w:numFmt w:val="lowerLetter"/>
      <w:lvlText w:val="%2."/>
      <w:lvlJc w:val="left"/>
      <w:pPr>
        <w:ind w:left="1440" w:hanging="360"/>
      </w:pPr>
    </w:lvl>
    <w:lvl w:ilvl="2" w:tplc="188AAB50">
      <w:start w:val="1"/>
      <w:numFmt w:val="lowerRoman"/>
      <w:lvlText w:val="%3."/>
      <w:lvlJc w:val="right"/>
      <w:pPr>
        <w:ind w:left="2160" w:hanging="180"/>
      </w:pPr>
    </w:lvl>
    <w:lvl w:ilvl="3" w:tplc="B25C0B8E">
      <w:start w:val="1"/>
      <w:numFmt w:val="decimal"/>
      <w:lvlText w:val="%4."/>
      <w:lvlJc w:val="left"/>
      <w:pPr>
        <w:ind w:left="2880" w:hanging="360"/>
      </w:pPr>
    </w:lvl>
    <w:lvl w:ilvl="4" w:tplc="BE10F684">
      <w:start w:val="1"/>
      <w:numFmt w:val="lowerLetter"/>
      <w:lvlText w:val="%5."/>
      <w:lvlJc w:val="left"/>
      <w:pPr>
        <w:ind w:left="3600" w:hanging="360"/>
      </w:pPr>
    </w:lvl>
    <w:lvl w:ilvl="5" w:tplc="F2160080">
      <w:start w:val="1"/>
      <w:numFmt w:val="lowerRoman"/>
      <w:lvlText w:val="%6."/>
      <w:lvlJc w:val="right"/>
      <w:pPr>
        <w:ind w:left="4320" w:hanging="180"/>
      </w:pPr>
    </w:lvl>
    <w:lvl w:ilvl="6" w:tplc="8234831E">
      <w:start w:val="1"/>
      <w:numFmt w:val="decimal"/>
      <w:lvlText w:val="%7."/>
      <w:lvlJc w:val="left"/>
      <w:pPr>
        <w:ind w:left="5040" w:hanging="360"/>
      </w:pPr>
    </w:lvl>
    <w:lvl w:ilvl="7" w:tplc="813EBA42">
      <w:start w:val="1"/>
      <w:numFmt w:val="lowerLetter"/>
      <w:lvlText w:val="%8."/>
      <w:lvlJc w:val="left"/>
      <w:pPr>
        <w:ind w:left="5760" w:hanging="360"/>
      </w:pPr>
    </w:lvl>
    <w:lvl w:ilvl="8" w:tplc="0212C364">
      <w:start w:val="1"/>
      <w:numFmt w:val="lowerRoman"/>
      <w:lvlText w:val="%9."/>
      <w:lvlJc w:val="right"/>
      <w:pPr>
        <w:ind w:left="6480" w:hanging="180"/>
      </w:pPr>
    </w:lvl>
  </w:abstractNum>
  <w:abstractNum w:abstractNumId="7" w15:restartNumberingAfterBreak="0">
    <w:nsid w:val="5BEADCD0"/>
    <w:multiLevelType w:val="hybridMultilevel"/>
    <w:tmpl w:val="E956402E"/>
    <w:lvl w:ilvl="0" w:tplc="B886A456">
      <w:start w:val="1"/>
      <w:numFmt w:val="decimal"/>
      <w:lvlText w:val="%1."/>
      <w:lvlJc w:val="left"/>
      <w:pPr>
        <w:ind w:left="720" w:hanging="360"/>
      </w:pPr>
    </w:lvl>
    <w:lvl w:ilvl="1" w:tplc="179058AA">
      <w:start w:val="1"/>
      <w:numFmt w:val="lowerLetter"/>
      <w:lvlText w:val="%2."/>
      <w:lvlJc w:val="left"/>
      <w:pPr>
        <w:ind w:left="1440" w:hanging="360"/>
      </w:pPr>
    </w:lvl>
    <w:lvl w:ilvl="2" w:tplc="D42AF580">
      <w:start w:val="1"/>
      <w:numFmt w:val="lowerRoman"/>
      <w:lvlText w:val="%3."/>
      <w:lvlJc w:val="right"/>
      <w:pPr>
        <w:ind w:left="2160" w:hanging="180"/>
      </w:pPr>
    </w:lvl>
    <w:lvl w:ilvl="3" w:tplc="D66C843C">
      <w:start w:val="1"/>
      <w:numFmt w:val="decimal"/>
      <w:lvlText w:val="%4."/>
      <w:lvlJc w:val="left"/>
      <w:pPr>
        <w:ind w:left="2880" w:hanging="360"/>
      </w:pPr>
    </w:lvl>
    <w:lvl w:ilvl="4" w:tplc="54C6A5FC">
      <w:start w:val="1"/>
      <w:numFmt w:val="lowerLetter"/>
      <w:lvlText w:val="%5."/>
      <w:lvlJc w:val="left"/>
      <w:pPr>
        <w:ind w:left="3600" w:hanging="360"/>
      </w:pPr>
    </w:lvl>
    <w:lvl w:ilvl="5" w:tplc="4EEAFBD2">
      <w:start w:val="1"/>
      <w:numFmt w:val="lowerRoman"/>
      <w:lvlText w:val="%6."/>
      <w:lvlJc w:val="right"/>
      <w:pPr>
        <w:ind w:left="4320" w:hanging="180"/>
      </w:pPr>
    </w:lvl>
    <w:lvl w:ilvl="6" w:tplc="2E9473A4">
      <w:start w:val="1"/>
      <w:numFmt w:val="decimal"/>
      <w:lvlText w:val="%7."/>
      <w:lvlJc w:val="left"/>
      <w:pPr>
        <w:ind w:left="5040" w:hanging="360"/>
      </w:pPr>
    </w:lvl>
    <w:lvl w:ilvl="7" w:tplc="CE1210B2">
      <w:start w:val="1"/>
      <w:numFmt w:val="lowerLetter"/>
      <w:lvlText w:val="%8."/>
      <w:lvlJc w:val="left"/>
      <w:pPr>
        <w:ind w:left="5760" w:hanging="360"/>
      </w:pPr>
    </w:lvl>
    <w:lvl w:ilvl="8" w:tplc="EDE4D274">
      <w:start w:val="1"/>
      <w:numFmt w:val="lowerRoman"/>
      <w:lvlText w:val="%9."/>
      <w:lvlJc w:val="right"/>
      <w:pPr>
        <w:ind w:left="6480" w:hanging="180"/>
      </w:pPr>
    </w:lvl>
  </w:abstractNum>
  <w:abstractNum w:abstractNumId="8" w15:restartNumberingAfterBreak="0">
    <w:nsid w:val="5E33092E"/>
    <w:multiLevelType w:val="hybridMultilevel"/>
    <w:tmpl w:val="C960F848"/>
    <w:lvl w:ilvl="0" w:tplc="682855AA">
      <w:start w:val="1"/>
      <w:numFmt w:val="decimal"/>
      <w:lvlText w:val="%1."/>
      <w:lvlJc w:val="left"/>
      <w:pPr>
        <w:ind w:left="580" w:hanging="360"/>
      </w:pPr>
    </w:lvl>
    <w:lvl w:ilvl="1" w:tplc="E5B84786">
      <w:start w:val="1"/>
      <w:numFmt w:val="lowerLetter"/>
      <w:lvlText w:val="%2."/>
      <w:lvlJc w:val="left"/>
      <w:pPr>
        <w:ind w:left="1300" w:hanging="360"/>
      </w:pPr>
    </w:lvl>
    <w:lvl w:ilvl="2" w:tplc="3AB83310">
      <w:start w:val="1"/>
      <w:numFmt w:val="lowerRoman"/>
      <w:lvlText w:val="%3."/>
      <w:lvlJc w:val="right"/>
      <w:pPr>
        <w:ind w:left="2020" w:hanging="180"/>
      </w:pPr>
    </w:lvl>
    <w:lvl w:ilvl="3" w:tplc="7932E64E">
      <w:start w:val="1"/>
      <w:numFmt w:val="decimal"/>
      <w:lvlText w:val="%4."/>
      <w:lvlJc w:val="left"/>
      <w:pPr>
        <w:ind w:left="2740" w:hanging="360"/>
      </w:pPr>
    </w:lvl>
    <w:lvl w:ilvl="4" w:tplc="C8A01CB4">
      <w:start w:val="1"/>
      <w:numFmt w:val="lowerLetter"/>
      <w:lvlText w:val="%5."/>
      <w:lvlJc w:val="left"/>
      <w:pPr>
        <w:ind w:left="3460" w:hanging="360"/>
      </w:pPr>
    </w:lvl>
    <w:lvl w:ilvl="5" w:tplc="6E74CE78">
      <w:start w:val="1"/>
      <w:numFmt w:val="lowerRoman"/>
      <w:lvlText w:val="%6."/>
      <w:lvlJc w:val="right"/>
      <w:pPr>
        <w:ind w:left="4180" w:hanging="180"/>
      </w:pPr>
    </w:lvl>
    <w:lvl w:ilvl="6" w:tplc="91F6014A">
      <w:start w:val="1"/>
      <w:numFmt w:val="decimal"/>
      <w:lvlText w:val="%7."/>
      <w:lvlJc w:val="left"/>
      <w:pPr>
        <w:ind w:left="4900" w:hanging="360"/>
      </w:pPr>
    </w:lvl>
    <w:lvl w:ilvl="7" w:tplc="EC4EF20C">
      <w:start w:val="1"/>
      <w:numFmt w:val="lowerLetter"/>
      <w:lvlText w:val="%8."/>
      <w:lvlJc w:val="left"/>
      <w:pPr>
        <w:ind w:left="5620" w:hanging="360"/>
      </w:pPr>
    </w:lvl>
    <w:lvl w:ilvl="8" w:tplc="371696F6">
      <w:start w:val="1"/>
      <w:numFmt w:val="lowerRoman"/>
      <w:lvlText w:val="%9."/>
      <w:lvlJc w:val="right"/>
      <w:pPr>
        <w:ind w:left="6340" w:hanging="180"/>
      </w:pPr>
    </w:lvl>
  </w:abstractNum>
  <w:abstractNum w:abstractNumId="9" w15:restartNumberingAfterBreak="0">
    <w:nsid w:val="60B4C099"/>
    <w:multiLevelType w:val="hybridMultilevel"/>
    <w:tmpl w:val="EDE85FF0"/>
    <w:lvl w:ilvl="0" w:tplc="CD1672F4">
      <w:start w:val="1"/>
      <w:numFmt w:val="bullet"/>
      <w:lvlText w:val=""/>
      <w:lvlJc w:val="left"/>
      <w:pPr>
        <w:ind w:left="360" w:hanging="360"/>
      </w:pPr>
      <w:rPr>
        <w:rFonts w:ascii="Symbol" w:hAnsi="Symbol" w:hint="default"/>
      </w:rPr>
    </w:lvl>
    <w:lvl w:ilvl="1" w:tplc="9BF80402">
      <w:start w:val="1"/>
      <w:numFmt w:val="bullet"/>
      <w:lvlText w:val="o"/>
      <w:lvlJc w:val="left"/>
      <w:pPr>
        <w:ind w:left="1440" w:hanging="360"/>
      </w:pPr>
      <w:rPr>
        <w:rFonts w:ascii="Courier New" w:hAnsi="Courier New" w:hint="default"/>
      </w:rPr>
    </w:lvl>
    <w:lvl w:ilvl="2" w:tplc="2A2A0A8A">
      <w:start w:val="1"/>
      <w:numFmt w:val="bullet"/>
      <w:lvlText w:val=""/>
      <w:lvlJc w:val="left"/>
      <w:pPr>
        <w:ind w:left="2160" w:hanging="360"/>
      </w:pPr>
      <w:rPr>
        <w:rFonts w:ascii="Wingdings" w:hAnsi="Wingdings" w:hint="default"/>
      </w:rPr>
    </w:lvl>
    <w:lvl w:ilvl="3" w:tplc="AC50F654">
      <w:start w:val="1"/>
      <w:numFmt w:val="bullet"/>
      <w:lvlText w:val=""/>
      <w:lvlJc w:val="left"/>
      <w:pPr>
        <w:ind w:left="2880" w:hanging="360"/>
      </w:pPr>
      <w:rPr>
        <w:rFonts w:ascii="Symbol" w:hAnsi="Symbol" w:hint="default"/>
      </w:rPr>
    </w:lvl>
    <w:lvl w:ilvl="4" w:tplc="BB482A1C">
      <w:start w:val="1"/>
      <w:numFmt w:val="bullet"/>
      <w:lvlText w:val="o"/>
      <w:lvlJc w:val="left"/>
      <w:pPr>
        <w:ind w:left="3600" w:hanging="360"/>
      </w:pPr>
      <w:rPr>
        <w:rFonts w:ascii="Courier New" w:hAnsi="Courier New" w:hint="default"/>
      </w:rPr>
    </w:lvl>
    <w:lvl w:ilvl="5" w:tplc="03344CE4">
      <w:start w:val="1"/>
      <w:numFmt w:val="bullet"/>
      <w:lvlText w:val=""/>
      <w:lvlJc w:val="left"/>
      <w:pPr>
        <w:ind w:left="4320" w:hanging="360"/>
      </w:pPr>
      <w:rPr>
        <w:rFonts w:ascii="Wingdings" w:hAnsi="Wingdings" w:hint="default"/>
      </w:rPr>
    </w:lvl>
    <w:lvl w:ilvl="6" w:tplc="4CF4A3D2">
      <w:start w:val="1"/>
      <w:numFmt w:val="bullet"/>
      <w:lvlText w:val=""/>
      <w:lvlJc w:val="left"/>
      <w:pPr>
        <w:ind w:left="5040" w:hanging="360"/>
      </w:pPr>
      <w:rPr>
        <w:rFonts w:ascii="Symbol" w:hAnsi="Symbol" w:hint="default"/>
      </w:rPr>
    </w:lvl>
    <w:lvl w:ilvl="7" w:tplc="415A8E5E">
      <w:start w:val="1"/>
      <w:numFmt w:val="bullet"/>
      <w:lvlText w:val="o"/>
      <w:lvlJc w:val="left"/>
      <w:pPr>
        <w:ind w:left="5760" w:hanging="360"/>
      </w:pPr>
      <w:rPr>
        <w:rFonts w:ascii="Courier New" w:hAnsi="Courier New" w:hint="default"/>
      </w:rPr>
    </w:lvl>
    <w:lvl w:ilvl="8" w:tplc="181662C6">
      <w:start w:val="1"/>
      <w:numFmt w:val="bullet"/>
      <w:lvlText w:val=""/>
      <w:lvlJc w:val="left"/>
      <w:pPr>
        <w:ind w:left="6480" w:hanging="360"/>
      </w:pPr>
      <w:rPr>
        <w:rFonts w:ascii="Wingdings" w:hAnsi="Wingdings" w:hint="default"/>
      </w:rPr>
    </w:lvl>
  </w:abstractNum>
  <w:abstractNum w:abstractNumId="10" w15:restartNumberingAfterBreak="0">
    <w:nsid w:val="60BCA868"/>
    <w:multiLevelType w:val="hybridMultilevel"/>
    <w:tmpl w:val="48FC6314"/>
    <w:lvl w:ilvl="0" w:tplc="722C8B12">
      <w:start w:val="1"/>
      <w:numFmt w:val="decimal"/>
      <w:lvlText w:val="%1."/>
      <w:lvlJc w:val="left"/>
      <w:pPr>
        <w:ind w:left="360" w:hanging="360"/>
      </w:pPr>
    </w:lvl>
    <w:lvl w:ilvl="1" w:tplc="A9107D1A">
      <w:start w:val="1"/>
      <w:numFmt w:val="lowerLetter"/>
      <w:lvlText w:val="%2."/>
      <w:lvlJc w:val="left"/>
      <w:pPr>
        <w:ind w:left="1080" w:hanging="360"/>
      </w:pPr>
    </w:lvl>
    <w:lvl w:ilvl="2" w:tplc="CE24D3D0">
      <w:start w:val="1"/>
      <w:numFmt w:val="lowerRoman"/>
      <w:lvlText w:val="%3."/>
      <w:lvlJc w:val="right"/>
      <w:pPr>
        <w:ind w:left="1800" w:hanging="180"/>
      </w:pPr>
    </w:lvl>
    <w:lvl w:ilvl="3" w:tplc="4D2E575E">
      <w:start w:val="1"/>
      <w:numFmt w:val="decimal"/>
      <w:lvlText w:val="%4."/>
      <w:lvlJc w:val="left"/>
      <w:pPr>
        <w:ind w:left="2520" w:hanging="360"/>
      </w:pPr>
    </w:lvl>
    <w:lvl w:ilvl="4" w:tplc="4650F128">
      <w:start w:val="1"/>
      <w:numFmt w:val="lowerLetter"/>
      <w:lvlText w:val="%5."/>
      <w:lvlJc w:val="left"/>
      <w:pPr>
        <w:ind w:left="3240" w:hanging="360"/>
      </w:pPr>
    </w:lvl>
    <w:lvl w:ilvl="5" w:tplc="49FA84BE">
      <w:start w:val="1"/>
      <w:numFmt w:val="lowerRoman"/>
      <w:lvlText w:val="%6."/>
      <w:lvlJc w:val="right"/>
      <w:pPr>
        <w:ind w:left="3960" w:hanging="180"/>
      </w:pPr>
    </w:lvl>
    <w:lvl w:ilvl="6" w:tplc="073E3872">
      <w:start w:val="1"/>
      <w:numFmt w:val="decimal"/>
      <w:lvlText w:val="%7."/>
      <w:lvlJc w:val="left"/>
      <w:pPr>
        <w:ind w:left="4680" w:hanging="360"/>
      </w:pPr>
    </w:lvl>
    <w:lvl w:ilvl="7" w:tplc="F7DC7D1A">
      <w:start w:val="1"/>
      <w:numFmt w:val="lowerLetter"/>
      <w:lvlText w:val="%8."/>
      <w:lvlJc w:val="left"/>
      <w:pPr>
        <w:ind w:left="5400" w:hanging="360"/>
      </w:pPr>
    </w:lvl>
    <w:lvl w:ilvl="8" w:tplc="E922803C">
      <w:start w:val="1"/>
      <w:numFmt w:val="lowerRoman"/>
      <w:lvlText w:val="%9."/>
      <w:lvlJc w:val="right"/>
      <w:pPr>
        <w:ind w:left="6120" w:hanging="180"/>
      </w:pPr>
    </w:lvl>
  </w:abstractNum>
  <w:abstractNum w:abstractNumId="11" w15:restartNumberingAfterBreak="0">
    <w:nsid w:val="6AD1992A"/>
    <w:multiLevelType w:val="hybridMultilevel"/>
    <w:tmpl w:val="C290C782"/>
    <w:lvl w:ilvl="0" w:tplc="3D5A2E2A">
      <w:start w:val="1"/>
      <w:numFmt w:val="decimal"/>
      <w:lvlText w:val="%1."/>
      <w:lvlJc w:val="left"/>
      <w:pPr>
        <w:ind w:left="720" w:hanging="360"/>
      </w:pPr>
    </w:lvl>
    <w:lvl w:ilvl="1" w:tplc="619E897C">
      <w:start w:val="1"/>
      <w:numFmt w:val="lowerLetter"/>
      <w:lvlText w:val="%2."/>
      <w:lvlJc w:val="left"/>
      <w:pPr>
        <w:ind w:left="1440" w:hanging="360"/>
      </w:pPr>
    </w:lvl>
    <w:lvl w:ilvl="2" w:tplc="F72255DE">
      <w:start w:val="1"/>
      <w:numFmt w:val="lowerRoman"/>
      <w:lvlText w:val="%3."/>
      <w:lvlJc w:val="right"/>
      <w:pPr>
        <w:ind w:left="2160" w:hanging="180"/>
      </w:pPr>
    </w:lvl>
    <w:lvl w:ilvl="3" w:tplc="87C05678">
      <w:start w:val="1"/>
      <w:numFmt w:val="decimal"/>
      <w:lvlText w:val="%4."/>
      <w:lvlJc w:val="left"/>
      <w:pPr>
        <w:ind w:left="2880" w:hanging="360"/>
      </w:pPr>
    </w:lvl>
    <w:lvl w:ilvl="4" w:tplc="974A8640">
      <w:start w:val="1"/>
      <w:numFmt w:val="lowerLetter"/>
      <w:lvlText w:val="%5."/>
      <w:lvlJc w:val="left"/>
      <w:pPr>
        <w:ind w:left="3600" w:hanging="360"/>
      </w:pPr>
    </w:lvl>
    <w:lvl w:ilvl="5" w:tplc="E698E896">
      <w:start w:val="1"/>
      <w:numFmt w:val="lowerRoman"/>
      <w:lvlText w:val="%6."/>
      <w:lvlJc w:val="right"/>
      <w:pPr>
        <w:ind w:left="4320" w:hanging="180"/>
      </w:pPr>
    </w:lvl>
    <w:lvl w:ilvl="6" w:tplc="80EA2636">
      <w:start w:val="1"/>
      <w:numFmt w:val="decimal"/>
      <w:lvlText w:val="%7."/>
      <w:lvlJc w:val="left"/>
      <w:pPr>
        <w:ind w:left="5040" w:hanging="360"/>
      </w:pPr>
    </w:lvl>
    <w:lvl w:ilvl="7" w:tplc="6EAE9BCC">
      <w:start w:val="1"/>
      <w:numFmt w:val="lowerLetter"/>
      <w:lvlText w:val="%8."/>
      <w:lvlJc w:val="left"/>
      <w:pPr>
        <w:ind w:left="5760" w:hanging="360"/>
      </w:pPr>
    </w:lvl>
    <w:lvl w:ilvl="8" w:tplc="5596C1B2">
      <w:start w:val="1"/>
      <w:numFmt w:val="lowerRoman"/>
      <w:lvlText w:val="%9."/>
      <w:lvlJc w:val="right"/>
      <w:pPr>
        <w:ind w:left="6480" w:hanging="180"/>
      </w:pPr>
    </w:lvl>
  </w:abstractNum>
  <w:abstractNum w:abstractNumId="12" w15:restartNumberingAfterBreak="0">
    <w:nsid w:val="7D50095A"/>
    <w:multiLevelType w:val="hybridMultilevel"/>
    <w:tmpl w:val="5D502C76"/>
    <w:lvl w:ilvl="0" w:tplc="30FCA018">
      <w:start w:val="1"/>
      <w:numFmt w:val="decimal"/>
      <w:lvlText w:val="%1."/>
      <w:lvlJc w:val="left"/>
      <w:pPr>
        <w:ind w:left="720" w:hanging="360"/>
      </w:pPr>
      <w:rPr>
        <w:rFonts w:ascii="Arial" w:hAnsi="Arial" w:hint="default"/>
      </w:rPr>
    </w:lvl>
    <w:lvl w:ilvl="1" w:tplc="57D858EA">
      <w:start w:val="1"/>
      <w:numFmt w:val="lowerLetter"/>
      <w:lvlText w:val="%2."/>
      <w:lvlJc w:val="left"/>
      <w:pPr>
        <w:ind w:left="1440" w:hanging="360"/>
      </w:pPr>
    </w:lvl>
    <w:lvl w:ilvl="2" w:tplc="65AC0FA2">
      <w:start w:val="1"/>
      <w:numFmt w:val="lowerRoman"/>
      <w:lvlText w:val="%3."/>
      <w:lvlJc w:val="right"/>
      <w:pPr>
        <w:ind w:left="2160" w:hanging="180"/>
      </w:pPr>
    </w:lvl>
    <w:lvl w:ilvl="3" w:tplc="3E26B012">
      <w:start w:val="1"/>
      <w:numFmt w:val="decimal"/>
      <w:lvlText w:val="%4."/>
      <w:lvlJc w:val="left"/>
      <w:pPr>
        <w:ind w:left="2880" w:hanging="360"/>
      </w:pPr>
    </w:lvl>
    <w:lvl w:ilvl="4" w:tplc="4CA8293A">
      <w:start w:val="1"/>
      <w:numFmt w:val="lowerLetter"/>
      <w:lvlText w:val="%5."/>
      <w:lvlJc w:val="left"/>
      <w:pPr>
        <w:ind w:left="3600" w:hanging="360"/>
      </w:pPr>
    </w:lvl>
    <w:lvl w:ilvl="5" w:tplc="E026A7D8">
      <w:start w:val="1"/>
      <w:numFmt w:val="lowerRoman"/>
      <w:lvlText w:val="%6."/>
      <w:lvlJc w:val="right"/>
      <w:pPr>
        <w:ind w:left="4320" w:hanging="180"/>
      </w:pPr>
    </w:lvl>
    <w:lvl w:ilvl="6" w:tplc="AF8AE078">
      <w:start w:val="1"/>
      <w:numFmt w:val="decimal"/>
      <w:lvlText w:val="%7."/>
      <w:lvlJc w:val="left"/>
      <w:pPr>
        <w:ind w:left="5040" w:hanging="360"/>
      </w:pPr>
    </w:lvl>
    <w:lvl w:ilvl="7" w:tplc="F3EEB718">
      <w:start w:val="1"/>
      <w:numFmt w:val="lowerLetter"/>
      <w:lvlText w:val="%8."/>
      <w:lvlJc w:val="left"/>
      <w:pPr>
        <w:ind w:left="5760" w:hanging="360"/>
      </w:pPr>
    </w:lvl>
    <w:lvl w:ilvl="8" w:tplc="BA8643B8">
      <w:start w:val="1"/>
      <w:numFmt w:val="lowerRoman"/>
      <w:lvlText w:val="%9."/>
      <w:lvlJc w:val="right"/>
      <w:pPr>
        <w:ind w:left="6480" w:hanging="180"/>
      </w:pPr>
    </w:lvl>
  </w:abstractNum>
  <w:num w:numId="1">
    <w:abstractNumId w:val="8"/>
  </w:num>
  <w:num w:numId="2">
    <w:abstractNumId w:val="6"/>
  </w:num>
  <w:num w:numId="3">
    <w:abstractNumId w:val="0"/>
  </w:num>
  <w:num w:numId="4">
    <w:abstractNumId w:val="2"/>
  </w:num>
  <w:num w:numId="5">
    <w:abstractNumId w:val="1"/>
  </w:num>
  <w:num w:numId="6">
    <w:abstractNumId w:val="11"/>
  </w:num>
  <w:num w:numId="7">
    <w:abstractNumId w:val="4"/>
  </w:num>
  <w:num w:numId="8">
    <w:abstractNumId w:val="7"/>
  </w:num>
  <w:num w:numId="9">
    <w:abstractNumId w:val="3"/>
  </w:num>
  <w:num w:numId="10">
    <w:abstractNumId w:val="10"/>
  </w:num>
  <w:num w:numId="11">
    <w:abstractNumId w:val="9"/>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F0C8D2"/>
    <w:rsid w:val="00015247"/>
    <w:rsid w:val="000642E7"/>
    <w:rsid w:val="0012C528"/>
    <w:rsid w:val="00166B97"/>
    <w:rsid w:val="001864E6"/>
    <w:rsid w:val="001E0E96"/>
    <w:rsid w:val="00272E5B"/>
    <w:rsid w:val="002846D7"/>
    <w:rsid w:val="00294B25"/>
    <w:rsid w:val="002C18C9"/>
    <w:rsid w:val="002C2B5E"/>
    <w:rsid w:val="004025AB"/>
    <w:rsid w:val="004D8B27"/>
    <w:rsid w:val="0056564B"/>
    <w:rsid w:val="005861E7"/>
    <w:rsid w:val="005A1046"/>
    <w:rsid w:val="005B730C"/>
    <w:rsid w:val="00622EA0"/>
    <w:rsid w:val="007D6EBA"/>
    <w:rsid w:val="007E3654"/>
    <w:rsid w:val="007E42E4"/>
    <w:rsid w:val="0081150E"/>
    <w:rsid w:val="00846627"/>
    <w:rsid w:val="00913B96"/>
    <w:rsid w:val="0091C578"/>
    <w:rsid w:val="00922637"/>
    <w:rsid w:val="00934223"/>
    <w:rsid w:val="00992F89"/>
    <w:rsid w:val="009C6DC6"/>
    <w:rsid w:val="00B41306"/>
    <w:rsid w:val="00B74C48"/>
    <w:rsid w:val="00CA4577"/>
    <w:rsid w:val="00D533E7"/>
    <w:rsid w:val="00E2CABC"/>
    <w:rsid w:val="00F0122C"/>
    <w:rsid w:val="00F04C2F"/>
    <w:rsid w:val="01352193"/>
    <w:rsid w:val="0171D016"/>
    <w:rsid w:val="01E9AE6A"/>
    <w:rsid w:val="02A40735"/>
    <w:rsid w:val="02C09AAA"/>
    <w:rsid w:val="033BCA14"/>
    <w:rsid w:val="0343CFC4"/>
    <w:rsid w:val="03C325D9"/>
    <w:rsid w:val="040DA190"/>
    <w:rsid w:val="042A4A63"/>
    <w:rsid w:val="04C61E44"/>
    <w:rsid w:val="0518F632"/>
    <w:rsid w:val="062203D6"/>
    <w:rsid w:val="06CB17BD"/>
    <w:rsid w:val="07F7C6FD"/>
    <w:rsid w:val="092FFB93"/>
    <w:rsid w:val="09543407"/>
    <w:rsid w:val="0A2D8E3E"/>
    <w:rsid w:val="0ADD682A"/>
    <w:rsid w:val="0B060E9B"/>
    <w:rsid w:val="0BD799BB"/>
    <w:rsid w:val="0BF5AB4E"/>
    <w:rsid w:val="0C542011"/>
    <w:rsid w:val="0C6A4D1A"/>
    <w:rsid w:val="0C7091B9"/>
    <w:rsid w:val="0C7AC740"/>
    <w:rsid w:val="0C933566"/>
    <w:rsid w:val="0CC2F3FA"/>
    <w:rsid w:val="0D1FB408"/>
    <w:rsid w:val="0D5503AD"/>
    <w:rsid w:val="0DAE7BC4"/>
    <w:rsid w:val="0E38C871"/>
    <w:rsid w:val="0EC3ECBA"/>
    <w:rsid w:val="0EF5E984"/>
    <w:rsid w:val="0F491DDD"/>
    <w:rsid w:val="0F5B7D3A"/>
    <w:rsid w:val="0F8EC54B"/>
    <w:rsid w:val="0FD5C3CA"/>
    <w:rsid w:val="10B58806"/>
    <w:rsid w:val="112029BA"/>
    <w:rsid w:val="11DA7B1C"/>
    <w:rsid w:val="11E4B50F"/>
    <w:rsid w:val="11F0C8D2"/>
    <w:rsid w:val="125997E2"/>
    <w:rsid w:val="12EF9820"/>
    <w:rsid w:val="131107BE"/>
    <w:rsid w:val="1317117B"/>
    <w:rsid w:val="1375053A"/>
    <w:rsid w:val="149B4421"/>
    <w:rsid w:val="158A1694"/>
    <w:rsid w:val="15F94840"/>
    <w:rsid w:val="1674BCFD"/>
    <w:rsid w:val="1731FEE1"/>
    <w:rsid w:val="174EA694"/>
    <w:rsid w:val="175B3F26"/>
    <w:rsid w:val="1770F24A"/>
    <w:rsid w:val="17843727"/>
    <w:rsid w:val="17B0D6E6"/>
    <w:rsid w:val="17DB67F4"/>
    <w:rsid w:val="1852B1D0"/>
    <w:rsid w:val="18C4FE76"/>
    <w:rsid w:val="1913280A"/>
    <w:rsid w:val="19B750DE"/>
    <w:rsid w:val="19C18EE7"/>
    <w:rsid w:val="19C29401"/>
    <w:rsid w:val="1A749CF7"/>
    <w:rsid w:val="1A8F261F"/>
    <w:rsid w:val="1AA0ACF3"/>
    <w:rsid w:val="1AB6B28D"/>
    <w:rsid w:val="1AC37F72"/>
    <w:rsid w:val="1B19A257"/>
    <w:rsid w:val="1B473200"/>
    <w:rsid w:val="1B81AF5C"/>
    <w:rsid w:val="1C4A456E"/>
    <w:rsid w:val="1C835F9A"/>
    <w:rsid w:val="1C9E1F45"/>
    <w:rsid w:val="1D2C9A08"/>
    <w:rsid w:val="1D8A80BA"/>
    <w:rsid w:val="1DF26EB7"/>
    <w:rsid w:val="1E835374"/>
    <w:rsid w:val="1EB5D45C"/>
    <w:rsid w:val="1EE8110D"/>
    <w:rsid w:val="20D427E1"/>
    <w:rsid w:val="2110A0C5"/>
    <w:rsid w:val="216E5FD4"/>
    <w:rsid w:val="21DED1BD"/>
    <w:rsid w:val="21E9F544"/>
    <w:rsid w:val="2209B2E2"/>
    <w:rsid w:val="220AA459"/>
    <w:rsid w:val="22196DA4"/>
    <w:rsid w:val="2243674A"/>
    <w:rsid w:val="22545184"/>
    <w:rsid w:val="2295E08F"/>
    <w:rsid w:val="22EB648C"/>
    <w:rsid w:val="23BD0C5C"/>
    <w:rsid w:val="23BDE952"/>
    <w:rsid w:val="23D240D2"/>
    <w:rsid w:val="2415CE10"/>
    <w:rsid w:val="242D24D7"/>
    <w:rsid w:val="242FDBC0"/>
    <w:rsid w:val="248D9CFA"/>
    <w:rsid w:val="24BBC6B3"/>
    <w:rsid w:val="25043A71"/>
    <w:rsid w:val="250B9146"/>
    <w:rsid w:val="252E79AB"/>
    <w:rsid w:val="25B2C064"/>
    <w:rsid w:val="25BB050F"/>
    <w:rsid w:val="263715E0"/>
    <w:rsid w:val="26608752"/>
    <w:rsid w:val="26F92438"/>
    <w:rsid w:val="26FB17D3"/>
    <w:rsid w:val="28102D6B"/>
    <w:rsid w:val="28B39819"/>
    <w:rsid w:val="28EC7199"/>
    <w:rsid w:val="2972E86E"/>
    <w:rsid w:val="298BB02A"/>
    <w:rsid w:val="29AD13C7"/>
    <w:rsid w:val="29F149BF"/>
    <w:rsid w:val="29F78C57"/>
    <w:rsid w:val="2A5A940A"/>
    <w:rsid w:val="2A995EBB"/>
    <w:rsid w:val="2B05872B"/>
    <w:rsid w:val="2B09A368"/>
    <w:rsid w:val="2BAD5D95"/>
    <w:rsid w:val="2BECA928"/>
    <w:rsid w:val="2C034384"/>
    <w:rsid w:val="2C2D6384"/>
    <w:rsid w:val="2C820D0C"/>
    <w:rsid w:val="2CDE6A03"/>
    <w:rsid w:val="2CF3E726"/>
    <w:rsid w:val="2CF4714A"/>
    <w:rsid w:val="2CF88934"/>
    <w:rsid w:val="2D0216AC"/>
    <w:rsid w:val="2D78998B"/>
    <w:rsid w:val="2D9A19B2"/>
    <w:rsid w:val="2DA606CB"/>
    <w:rsid w:val="2E9CFD99"/>
    <w:rsid w:val="2E9FE7EB"/>
    <w:rsid w:val="2EB6FC97"/>
    <w:rsid w:val="2F0E8F42"/>
    <w:rsid w:val="2F7C4E96"/>
    <w:rsid w:val="2F7E815A"/>
    <w:rsid w:val="2F8AD18C"/>
    <w:rsid w:val="300E591C"/>
    <w:rsid w:val="307A61DC"/>
    <w:rsid w:val="30CDCD57"/>
    <w:rsid w:val="30D173B2"/>
    <w:rsid w:val="30D2C1B7"/>
    <w:rsid w:val="30F0F9DA"/>
    <w:rsid w:val="31CF3AA8"/>
    <w:rsid w:val="323BBCEA"/>
    <w:rsid w:val="33CB3146"/>
    <w:rsid w:val="34759825"/>
    <w:rsid w:val="34CC225B"/>
    <w:rsid w:val="34F51F80"/>
    <w:rsid w:val="358B4AC6"/>
    <w:rsid w:val="3597A0B1"/>
    <w:rsid w:val="3638C82D"/>
    <w:rsid w:val="36DEA844"/>
    <w:rsid w:val="372B8E4A"/>
    <w:rsid w:val="3731212B"/>
    <w:rsid w:val="373F0FFA"/>
    <w:rsid w:val="3762A190"/>
    <w:rsid w:val="37F7BBBA"/>
    <w:rsid w:val="380B34EC"/>
    <w:rsid w:val="3820E711"/>
    <w:rsid w:val="384F3326"/>
    <w:rsid w:val="385C49B8"/>
    <w:rsid w:val="38A9E638"/>
    <w:rsid w:val="38D6E448"/>
    <w:rsid w:val="39648B85"/>
    <w:rsid w:val="39788414"/>
    <w:rsid w:val="3A16449C"/>
    <w:rsid w:val="3A5B8FC8"/>
    <w:rsid w:val="3A5B90F5"/>
    <w:rsid w:val="3A6239CF"/>
    <w:rsid w:val="3A69C42F"/>
    <w:rsid w:val="3A6D7782"/>
    <w:rsid w:val="3AB12801"/>
    <w:rsid w:val="3B096875"/>
    <w:rsid w:val="3B380504"/>
    <w:rsid w:val="3B6746EB"/>
    <w:rsid w:val="3BEA0373"/>
    <w:rsid w:val="3CD886B0"/>
    <w:rsid w:val="3CDB658C"/>
    <w:rsid w:val="3D875BB2"/>
    <w:rsid w:val="3D93DA24"/>
    <w:rsid w:val="3DACB284"/>
    <w:rsid w:val="3EAA0A70"/>
    <w:rsid w:val="3EAAEC94"/>
    <w:rsid w:val="3F18D0E8"/>
    <w:rsid w:val="3FBB1999"/>
    <w:rsid w:val="3FE00620"/>
    <w:rsid w:val="3FED97A3"/>
    <w:rsid w:val="3FFA9C03"/>
    <w:rsid w:val="400179B5"/>
    <w:rsid w:val="413A3FF9"/>
    <w:rsid w:val="414B6094"/>
    <w:rsid w:val="42764BB6"/>
    <w:rsid w:val="42BDDF0B"/>
    <w:rsid w:val="42D84829"/>
    <w:rsid w:val="42ED8CC6"/>
    <w:rsid w:val="4370B0D0"/>
    <w:rsid w:val="43A2E5DA"/>
    <w:rsid w:val="43CC3E5C"/>
    <w:rsid w:val="44BB25C2"/>
    <w:rsid w:val="45453591"/>
    <w:rsid w:val="4571BE6E"/>
    <w:rsid w:val="457AEC54"/>
    <w:rsid w:val="45A4AAEF"/>
    <w:rsid w:val="45F6C981"/>
    <w:rsid w:val="46D34EE8"/>
    <w:rsid w:val="46E26EFB"/>
    <w:rsid w:val="47B97F59"/>
    <w:rsid w:val="47F7076D"/>
    <w:rsid w:val="482E9D7B"/>
    <w:rsid w:val="48881EFE"/>
    <w:rsid w:val="497DA0FE"/>
    <w:rsid w:val="4AFE0BA5"/>
    <w:rsid w:val="4AFFA6DA"/>
    <w:rsid w:val="4B7730D8"/>
    <w:rsid w:val="4BFD60C1"/>
    <w:rsid w:val="4C42E8BA"/>
    <w:rsid w:val="4CA1D688"/>
    <w:rsid w:val="4CBE39CF"/>
    <w:rsid w:val="4D6AC178"/>
    <w:rsid w:val="4D7F9A16"/>
    <w:rsid w:val="4D84E1E2"/>
    <w:rsid w:val="4DAA32DF"/>
    <w:rsid w:val="4DEB6670"/>
    <w:rsid w:val="4E184A6E"/>
    <w:rsid w:val="4EA46C21"/>
    <w:rsid w:val="4F55D814"/>
    <w:rsid w:val="4F5A71EC"/>
    <w:rsid w:val="4F7DC541"/>
    <w:rsid w:val="4FCC7ACE"/>
    <w:rsid w:val="5051530C"/>
    <w:rsid w:val="509541FC"/>
    <w:rsid w:val="50D5404D"/>
    <w:rsid w:val="51437F80"/>
    <w:rsid w:val="514525EF"/>
    <w:rsid w:val="51A89EC1"/>
    <w:rsid w:val="51D9ADCC"/>
    <w:rsid w:val="51EB6DA8"/>
    <w:rsid w:val="5227B1AF"/>
    <w:rsid w:val="524747C7"/>
    <w:rsid w:val="5283925F"/>
    <w:rsid w:val="52F8E0A0"/>
    <w:rsid w:val="533C331B"/>
    <w:rsid w:val="539D8E57"/>
    <w:rsid w:val="53A44AAE"/>
    <w:rsid w:val="53E2842A"/>
    <w:rsid w:val="53E5EC89"/>
    <w:rsid w:val="543F51D3"/>
    <w:rsid w:val="5466F01A"/>
    <w:rsid w:val="5497FB17"/>
    <w:rsid w:val="54AA1109"/>
    <w:rsid w:val="54B79F44"/>
    <w:rsid w:val="552AF8D8"/>
    <w:rsid w:val="553D2F6D"/>
    <w:rsid w:val="5634BBB4"/>
    <w:rsid w:val="578A680B"/>
    <w:rsid w:val="57DFE139"/>
    <w:rsid w:val="58A8031B"/>
    <w:rsid w:val="590C6B0B"/>
    <w:rsid w:val="591C9746"/>
    <w:rsid w:val="5940C177"/>
    <w:rsid w:val="59E2D4A2"/>
    <w:rsid w:val="5A1D93D5"/>
    <w:rsid w:val="5B307FBE"/>
    <w:rsid w:val="5B56A4CB"/>
    <w:rsid w:val="5BB2F5A5"/>
    <w:rsid w:val="5C374B41"/>
    <w:rsid w:val="5C4B2944"/>
    <w:rsid w:val="5CBE2A9A"/>
    <w:rsid w:val="5CFFBE29"/>
    <w:rsid w:val="5D10280D"/>
    <w:rsid w:val="5D970EA9"/>
    <w:rsid w:val="5DB6FB0C"/>
    <w:rsid w:val="5DEB6DBF"/>
    <w:rsid w:val="5E06F042"/>
    <w:rsid w:val="5E1AF3B6"/>
    <w:rsid w:val="5E8CC404"/>
    <w:rsid w:val="5EEA6822"/>
    <w:rsid w:val="5F161F27"/>
    <w:rsid w:val="5F74F58C"/>
    <w:rsid w:val="5F83246C"/>
    <w:rsid w:val="5FA25544"/>
    <w:rsid w:val="5FA6BDCD"/>
    <w:rsid w:val="5FC61D07"/>
    <w:rsid w:val="60791D5B"/>
    <w:rsid w:val="60B2172D"/>
    <w:rsid w:val="60C1B287"/>
    <w:rsid w:val="61706ED4"/>
    <w:rsid w:val="61D9CE0C"/>
    <w:rsid w:val="62531A5B"/>
    <w:rsid w:val="62D95A76"/>
    <w:rsid w:val="63069547"/>
    <w:rsid w:val="6310C43E"/>
    <w:rsid w:val="63B14ADD"/>
    <w:rsid w:val="63C2EA9B"/>
    <w:rsid w:val="642C2808"/>
    <w:rsid w:val="648A6A9F"/>
    <w:rsid w:val="64CC324D"/>
    <w:rsid w:val="64FB1413"/>
    <w:rsid w:val="650DDACA"/>
    <w:rsid w:val="65B99A38"/>
    <w:rsid w:val="65C1F49C"/>
    <w:rsid w:val="66641D5D"/>
    <w:rsid w:val="6672D5E1"/>
    <w:rsid w:val="6719CC97"/>
    <w:rsid w:val="672359F4"/>
    <w:rsid w:val="67769310"/>
    <w:rsid w:val="678B97F8"/>
    <w:rsid w:val="67E61238"/>
    <w:rsid w:val="68A034BA"/>
    <w:rsid w:val="691F737E"/>
    <w:rsid w:val="6932C69C"/>
    <w:rsid w:val="6937C891"/>
    <w:rsid w:val="69CE4089"/>
    <w:rsid w:val="69D8656F"/>
    <w:rsid w:val="6A020A97"/>
    <w:rsid w:val="6A27FB99"/>
    <w:rsid w:val="6A797F5B"/>
    <w:rsid w:val="6A8AF0E0"/>
    <w:rsid w:val="6B3D31F6"/>
    <w:rsid w:val="6B5ADADF"/>
    <w:rsid w:val="6BE4A4AB"/>
    <w:rsid w:val="6BFB2BAE"/>
    <w:rsid w:val="6CD8DC1F"/>
    <w:rsid w:val="6D2E3F22"/>
    <w:rsid w:val="6D8209A3"/>
    <w:rsid w:val="6DA226D2"/>
    <w:rsid w:val="6E86510E"/>
    <w:rsid w:val="705C329C"/>
    <w:rsid w:val="7079E364"/>
    <w:rsid w:val="70DF5653"/>
    <w:rsid w:val="7176F710"/>
    <w:rsid w:val="71819A84"/>
    <w:rsid w:val="71A8369A"/>
    <w:rsid w:val="71E2F142"/>
    <w:rsid w:val="72518C15"/>
    <w:rsid w:val="73955F06"/>
    <w:rsid w:val="75247173"/>
    <w:rsid w:val="75B3D2C2"/>
    <w:rsid w:val="75D6F335"/>
    <w:rsid w:val="75F8F800"/>
    <w:rsid w:val="762A3D01"/>
    <w:rsid w:val="76534A6A"/>
    <w:rsid w:val="7781D143"/>
    <w:rsid w:val="77D4881C"/>
    <w:rsid w:val="77D80BA0"/>
    <w:rsid w:val="77EBE2ED"/>
    <w:rsid w:val="78391983"/>
    <w:rsid w:val="784A87EA"/>
    <w:rsid w:val="78E5A480"/>
    <w:rsid w:val="78FBE607"/>
    <w:rsid w:val="791F4E1B"/>
    <w:rsid w:val="79AC73D2"/>
    <w:rsid w:val="79D0BC2C"/>
    <w:rsid w:val="7A597A45"/>
    <w:rsid w:val="7A9081E3"/>
    <w:rsid w:val="7AAF3A42"/>
    <w:rsid w:val="7AF2E424"/>
    <w:rsid w:val="7B34D9BA"/>
    <w:rsid w:val="7C1E1182"/>
    <w:rsid w:val="7C3A8154"/>
    <w:rsid w:val="7CB507E1"/>
    <w:rsid w:val="7D23E7DC"/>
    <w:rsid w:val="7D9AA249"/>
    <w:rsid w:val="7E188915"/>
    <w:rsid w:val="7E9C4EAF"/>
    <w:rsid w:val="7F25802F"/>
    <w:rsid w:val="7F2F263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CF43B"/>
  <w15:chartTrackingRefBased/>
  <w15:docId w15:val="{C41C2B03-8AA2-4342-A3E5-04F62EB14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uiPriority w:val="9"/>
    <w:unhideWhenUsed/>
    <w:qFormat/>
    <w:rsid w:val="6CD8DC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uiPriority w:val="9"/>
    <w:unhideWhenUsed/>
    <w:qFormat/>
    <w:rsid w:val="6CD8DC1F"/>
    <w:pPr>
      <w:keepNext/>
      <w:keepLines/>
      <w:spacing w:before="160" w:after="80"/>
      <w:outlineLvl w:val="2"/>
    </w:pPr>
    <w:rPr>
      <w:rFonts w:eastAsiaTheme="majorEastAsia" w:cstheme="majorBidi"/>
      <w:color w:val="0F476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uiPriority w:val="99"/>
    <w:unhideWhenUsed/>
    <w:rsid w:val="4CA1D688"/>
    <w:pPr>
      <w:tabs>
        <w:tab w:val="center" w:pos="4680"/>
        <w:tab w:val="right" w:pos="9360"/>
      </w:tabs>
      <w:spacing w:after="0" w:line="240" w:lineRule="auto"/>
    </w:pPr>
  </w:style>
  <w:style w:type="paragraph" w:styleId="Piedepgina">
    <w:name w:val="footer"/>
    <w:basedOn w:val="Normal"/>
    <w:uiPriority w:val="99"/>
    <w:unhideWhenUsed/>
    <w:rsid w:val="4CA1D688"/>
    <w:pPr>
      <w:tabs>
        <w:tab w:val="center" w:pos="4680"/>
        <w:tab w:val="right" w:pos="9360"/>
      </w:tabs>
      <w:spacing w:after="0" w:line="240" w:lineRule="auto"/>
    </w:pPr>
  </w:style>
  <w:style w:type="paragraph" w:styleId="Prrafodelista">
    <w:name w:val="List Paragraph"/>
    <w:basedOn w:val="Normal"/>
    <w:uiPriority w:val="34"/>
    <w:qFormat/>
    <w:rsid w:val="4CA1D688"/>
    <w:pPr>
      <w:ind w:left="720"/>
      <w:contextualSpacing/>
    </w:pPr>
  </w:style>
  <w:style w:type="character" w:styleId="Textoennegrita">
    <w:name w:val="Strong"/>
    <w:basedOn w:val="Fuentedeprrafopredeter"/>
    <w:uiPriority w:val="22"/>
    <w:qFormat/>
    <w:rsid w:val="4CA1D688"/>
    <w:rPr>
      <w:b/>
      <w:bCs/>
    </w:rPr>
  </w:style>
  <w:style w:type="paragraph" w:styleId="Ttulo">
    <w:name w:val="Title"/>
    <w:basedOn w:val="Normal"/>
    <w:next w:val="Normal"/>
    <w:uiPriority w:val="10"/>
    <w:qFormat/>
    <w:rsid w:val="4CA1D688"/>
    <w:pPr>
      <w:spacing w:after="80" w:line="240" w:lineRule="auto"/>
      <w:contextualSpacing/>
    </w:pPr>
    <w:rPr>
      <w:rFonts w:asciiTheme="majorHAnsi" w:eastAsiaTheme="majorEastAsia" w:hAnsiTheme="majorHAnsi" w:cstheme="majorBidi"/>
      <w:sz w:val="56"/>
      <w:szCs w:val="56"/>
    </w:rPr>
  </w:style>
  <w:style w:type="character" w:styleId="Hipervnculo">
    <w:name w:val="Hyperlink"/>
    <w:basedOn w:val="Fuentedeprrafopredeter"/>
    <w:uiPriority w:val="99"/>
    <w:unhideWhenUsed/>
    <w:rsid w:val="6CD8DC1F"/>
    <w:rPr>
      <w:color w:val="467886"/>
      <w:u w:val="single"/>
    </w:rPr>
  </w:style>
  <w:style w:type="paragraph" w:styleId="TDC2">
    <w:name w:val="toc 2"/>
    <w:basedOn w:val="Normal"/>
    <w:next w:val="Normal"/>
    <w:uiPriority w:val="39"/>
    <w:unhideWhenUsed/>
    <w:rsid w:val="6CD8DC1F"/>
    <w:pPr>
      <w:spacing w:after="100"/>
      <w:ind w:left="220"/>
    </w:pPr>
  </w:style>
  <w:style w:type="paragraph" w:styleId="TDC3">
    <w:name w:val="toc 3"/>
    <w:basedOn w:val="Normal"/>
    <w:next w:val="Normal"/>
    <w:uiPriority w:val="39"/>
    <w:unhideWhenUsed/>
    <w:rsid w:val="6CD8DC1F"/>
    <w:pPr>
      <w:spacing w:after="100"/>
      <w:ind w:left="440"/>
    </w:pPr>
  </w:style>
  <w:style w:type="character" w:styleId="Refdecomentario">
    <w:name w:val="annotation reference"/>
    <w:basedOn w:val="Fuentedeprrafopredeter"/>
    <w:uiPriority w:val="99"/>
    <w:semiHidden/>
    <w:unhideWhenUsed/>
    <w:rsid w:val="007E3654"/>
    <w:rPr>
      <w:sz w:val="16"/>
      <w:szCs w:val="16"/>
    </w:rPr>
  </w:style>
  <w:style w:type="paragraph" w:styleId="Textocomentario">
    <w:name w:val="annotation text"/>
    <w:basedOn w:val="Normal"/>
    <w:link w:val="TextocomentarioCar"/>
    <w:uiPriority w:val="99"/>
    <w:semiHidden/>
    <w:unhideWhenUsed/>
    <w:rsid w:val="007E365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E3654"/>
    <w:rPr>
      <w:sz w:val="20"/>
      <w:szCs w:val="20"/>
    </w:rPr>
  </w:style>
  <w:style w:type="paragraph" w:styleId="Asuntodelcomentario">
    <w:name w:val="annotation subject"/>
    <w:basedOn w:val="Textocomentario"/>
    <w:next w:val="Textocomentario"/>
    <w:link w:val="AsuntodelcomentarioCar"/>
    <w:uiPriority w:val="99"/>
    <w:semiHidden/>
    <w:unhideWhenUsed/>
    <w:rsid w:val="007E3654"/>
    <w:rPr>
      <w:b/>
      <w:bCs/>
    </w:rPr>
  </w:style>
  <w:style w:type="character" w:customStyle="1" w:styleId="AsuntodelcomentarioCar">
    <w:name w:val="Asunto del comentario Car"/>
    <w:basedOn w:val="TextocomentarioCar"/>
    <w:link w:val="Asuntodelcomentario"/>
    <w:uiPriority w:val="99"/>
    <w:semiHidden/>
    <w:rsid w:val="007E36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195160">
      <w:bodyDiv w:val="1"/>
      <w:marLeft w:val="0"/>
      <w:marRight w:val="0"/>
      <w:marTop w:val="0"/>
      <w:marBottom w:val="0"/>
      <w:divBdr>
        <w:top w:val="none" w:sz="0" w:space="0" w:color="auto"/>
        <w:left w:val="none" w:sz="0" w:space="0" w:color="auto"/>
        <w:bottom w:val="none" w:sz="0" w:space="0" w:color="auto"/>
        <w:right w:val="none" w:sz="0" w:space="0" w:color="auto"/>
      </w:divBdr>
      <w:divsChild>
        <w:div w:id="984748065">
          <w:marLeft w:val="0"/>
          <w:marRight w:val="0"/>
          <w:marTop w:val="0"/>
          <w:marBottom w:val="0"/>
          <w:divBdr>
            <w:top w:val="none" w:sz="0" w:space="0" w:color="auto"/>
            <w:left w:val="none" w:sz="0" w:space="0" w:color="auto"/>
            <w:bottom w:val="none" w:sz="0" w:space="0" w:color="auto"/>
            <w:right w:val="none" w:sz="0" w:space="0" w:color="auto"/>
          </w:divBdr>
        </w:div>
        <w:div w:id="1054310096">
          <w:marLeft w:val="0"/>
          <w:marRight w:val="0"/>
          <w:marTop w:val="0"/>
          <w:marBottom w:val="0"/>
          <w:divBdr>
            <w:top w:val="none" w:sz="0" w:space="0" w:color="auto"/>
            <w:left w:val="none" w:sz="0" w:space="0" w:color="auto"/>
            <w:bottom w:val="none" w:sz="0" w:space="0" w:color="auto"/>
            <w:right w:val="none" w:sz="0" w:space="0" w:color="auto"/>
          </w:divBdr>
        </w:div>
        <w:div w:id="1209491582">
          <w:marLeft w:val="0"/>
          <w:marRight w:val="0"/>
          <w:marTop w:val="0"/>
          <w:marBottom w:val="0"/>
          <w:divBdr>
            <w:top w:val="none" w:sz="0" w:space="0" w:color="auto"/>
            <w:left w:val="none" w:sz="0" w:space="0" w:color="auto"/>
            <w:bottom w:val="none" w:sz="0" w:space="0" w:color="auto"/>
            <w:right w:val="none" w:sz="0" w:space="0" w:color="auto"/>
          </w:divBdr>
        </w:div>
        <w:div w:id="2023437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2BBC0B89517D24181FBEB3C39061828" ma:contentTypeVersion="18" ma:contentTypeDescription="Crear nuevo documento." ma:contentTypeScope="" ma:versionID="9cd193c69547e7ae41956e2d597cf695">
  <xsd:schema xmlns:xsd="http://www.w3.org/2001/XMLSchema" xmlns:xs="http://www.w3.org/2001/XMLSchema" xmlns:p="http://schemas.microsoft.com/office/2006/metadata/properties" xmlns:ns2="05bb8150-b35f-46eb-b022-eb95dd0a3ceb" xmlns:ns3="ac9f3b94-3255-4e07-a62a-c27915f6fda4" targetNamespace="http://schemas.microsoft.com/office/2006/metadata/properties" ma:root="true" ma:fieldsID="fa8dbe7fe19cd9fbc125f3fbe0aee0db" ns2:_="" ns3:_="">
    <xsd:import namespace="05bb8150-b35f-46eb-b022-eb95dd0a3ceb"/>
    <xsd:import namespace="ac9f3b94-3255-4e07-a62a-c27915f6fd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Usuari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bb8150-b35f-46eb-b022-eb95dd0a3ce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7eb94a7-79c2-4e4e-b6e6-9c90d6403242}" ma:internalName="TaxCatchAll" ma:showField="CatchAllData" ma:web="05bb8150-b35f-46eb-b022-eb95dd0a3ce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9f3b94-3255-4e07-a62a-c27915f6fd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Usuario" ma:index="23" nillable="true" ma:displayName="Usuario" ma:format="Dropdown" ma:list="UserInfo" ma:SharePointGroup="0" ma:internalName="Usuari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bb8150-b35f-46eb-b022-eb95dd0a3ceb" xsi:nil="true"/>
    <Usuario xmlns="ac9f3b94-3255-4e07-a62a-c27915f6fda4">
      <UserInfo>
        <DisplayName/>
        <AccountId xsi:nil="true"/>
        <AccountType/>
      </UserInfo>
    </Usuario>
    <lcf76f155ced4ddcb4097134ff3c332f xmlns="ac9f3b94-3255-4e07-a62a-c27915f6fd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D31C7F-67FE-4FCF-90F9-ED34577FB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bb8150-b35f-46eb-b022-eb95dd0a3ceb"/>
    <ds:schemaRef ds:uri="ac9f3b94-3255-4e07-a62a-c27915f6fd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F9286-0E8A-4882-806A-6848FE6EC7E3}">
  <ds:schemaRefs>
    <ds:schemaRef ds:uri="http://schemas.microsoft.com/sharepoint/v3/contenttype/forms"/>
  </ds:schemaRefs>
</ds:datastoreItem>
</file>

<file path=customXml/itemProps3.xml><?xml version="1.0" encoding="utf-8"?>
<ds:datastoreItem xmlns:ds="http://schemas.openxmlformats.org/officeDocument/2006/customXml" ds:itemID="{D79F4FB1-4BFC-4E19-A119-23922EE6A13B}">
  <ds:schemaRefs>
    <ds:schemaRef ds:uri="http://schemas.microsoft.com/office/2006/metadata/properties"/>
    <ds:schemaRef ds:uri="http://schemas.microsoft.com/office/infopath/2007/PartnerControls"/>
    <ds:schemaRef ds:uri="05bb8150-b35f-46eb-b022-eb95dd0a3ceb"/>
    <ds:schemaRef ds:uri="ac9f3b94-3255-4e07-a62a-c27915f6fda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3410</Words>
  <Characters>18761</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Daniel Taborda Daza</dc:creator>
  <cp:keywords/>
  <dc:description/>
  <cp:lastModifiedBy>Edward Suárez Gómez</cp:lastModifiedBy>
  <cp:revision>2</cp:revision>
  <dcterms:created xsi:type="dcterms:W3CDTF">2026-06-16T20:36:00Z</dcterms:created>
  <dcterms:modified xsi:type="dcterms:W3CDTF">2026-06-16T20:36:00Z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0x010100C2BBC0B89517D24181FBEB3C39061828</vt:lpwstr>
  </property>
  <property fmtid="{D5CDD505-2E9C-101B-9397-08002B2CF9AE}" pid="3" name="MediaServiceImageTags">
    <vt:lpwstr/>
  </property>
</Properties>
</file>